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val="en-US" w:eastAsia="zh-CN"/>
        </w:rPr>
        <w:t>供销合作社联合社</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20</w:t>
      </w:r>
      <w:r>
        <w:rPr>
          <w:rFonts w:hint="eastAsia" w:ascii="方正小标宋简体" w:hAnsi="Times New Roman" w:eastAsia="方正小标宋简体" w:cs="Times New Roman"/>
          <w:sz w:val="44"/>
          <w:szCs w:val="44"/>
        </w:rPr>
        <w:t>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sz w:val="32"/>
          <w:szCs w:val="32"/>
          <w:lang w:val="en-US" w:eastAsia="zh-CN"/>
        </w:rPr>
        <w:t>霸州市供销合作社联合社</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1、供销流通管理——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2、服务三农事务管理——强力推进和形成服务现代农业、服务农村生产生活、服务农业新型经营主体三大板块的服务格局。</w:t>
      </w:r>
    </w:p>
    <w:p>
      <w:pPr>
        <w:spacing w:line="58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、物资储备管理——根据市防汛抗旱指挥部要求，负责防汛抗旱、抢险救灾有关物资的储备、管理、供应和调拨的相关工作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储备488吨合格食盐，保障全市2个月食盐供应。</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、供销合作政务管理——完成市供销系统综合业务指标。</w:t>
      </w:r>
    </w:p>
    <w:p>
      <w:pPr>
        <w:ind w:firstLine="640" w:firstLineChars="200"/>
        <w:rPr>
          <w:rFonts w:ascii="仿宋_GB2312" w:hAnsi="Times New Roman" w:eastAsia="仿宋_GB2312" w:cs="Times New Roman"/>
          <w:color w:val="FF0000"/>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110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7"/>
        <w:gridCol w:w="1698"/>
        <w:gridCol w:w="1653"/>
        <w:gridCol w:w="43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287"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698"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65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4398"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28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69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65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39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287" w:type="dxa"/>
            <w:shd w:val="clear" w:color="auto" w:fill="auto"/>
            <w:vAlign w:val="center"/>
          </w:tcPr>
          <w:p>
            <w:pPr>
              <w:spacing w:line="300" w:lineRule="exact"/>
              <w:jc w:val="center"/>
              <w:rPr>
                <w:rFonts w:ascii="Times New Roman" w:hAnsi="Times New Roman" w:eastAsia="方正书宋_GBK" w:cstheme="minorBidi"/>
                <w:kern w:val="2"/>
                <w:sz w:val="21"/>
                <w:szCs w:val="24"/>
                <w:lang w:val="en-US" w:eastAsia="zh-CN" w:bidi="ar-SA"/>
              </w:rPr>
            </w:pPr>
            <w:r>
              <w:rPr>
                <w:rFonts w:hint="eastAsia" w:ascii="方正书宋_GBK" w:eastAsia="方正书宋_GBK"/>
              </w:rPr>
              <w:t>霸州市供销合作社联合社</w:t>
            </w:r>
          </w:p>
        </w:tc>
        <w:tc>
          <w:tcPr>
            <w:tcW w:w="1698" w:type="dxa"/>
            <w:shd w:val="clear" w:color="auto" w:fill="auto"/>
            <w:vAlign w:val="center"/>
          </w:tcPr>
          <w:p>
            <w:pPr>
              <w:spacing w:line="300" w:lineRule="exact"/>
              <w:jc w:val="center"/>
              <w:rPr>
                <w:rFonts w:hint="default" w:ascii="Times New Roman" w:hAnsi="Times New Roman" w:eastAsia="方正书宋_GBK" w:cstheme="minorBidi"/>
                <w:kern w:val="2"/>
                <w:sz w:val="21"/>
                <w:szCs w:val="24"/>
                <w:highlight w:val="cyan"/>
                <w:lang w:val="en-US" w:eastAsia="zh-CN" w:bidi="ar-SA"/>
              </w:rPr>
            </w:pPr>
            <w:r>
              <w:rPr>
                <w:rFonts w:hint="eastAsia" w:ascii="Times New Roman" w:hAnsi="Times New Roman" w:eastAsia="方正书宋_GBK" w:cstheme="minorBidi"/>
                <w:kern w:val="2"/>
                <w:sz w:val="21"/>
                <w:szCs w:val="24"/>
                <w:highlight w:val="none"/>
                <w:lang w:val="en-US" w:eastAsia="zh-CN" w:bidi="ar-SA"/>
              </w:rPr>
              <w:t>其他</w:t>
            </w:r>
          </w:p>
        </w:tc>
        <w:tc>
          <w:tcPr>
            <w:tcW w:w="1653" w:type="dxa"/>
            <w:shd w:val="clear" w:color="auto" w:fill="auto"/>
            <w:vAlign w:val="center"/>
          </w:tcPr>
          <w:p>
            <w:pPr>
              <w:spacing w:line="300" w:lineRule="exact"/>
              <w:jc w:val="center"/>
              <w:rPr>
                <w:rFonts w:ascii="Times New Roman" w:hAnsi="Times New Roman" w:eastAsia="方正书宋_GBK" w:cstheme="minorBidi"/>
                <w:kern w:val="2"/>
                <w:sz w:val="21"/>
                <w:szCs w:val="24"/>
                <w:highlight w:val="cyan"/>
                <w:lang w:val="en-US" w:eastAsia="zh-CN" w:bidi="ar-SA"/>
              </w:rPr>
            </w:pPr>
            <w:r>
              <w:rPr>
                <w:rFonts w:hint="eastAsia" w:ascii="Times New Roman" w:hAnsi="Times New Roman" w:eastAsia="方正书宋_GBK"/>
                <w:szCs w:val="24"/>
              </w:rPr>
              <w:t>正科级</w:t>
            </w:r>
          </w:p>
        </w:tc>
        <w:tc>
          <w:tcPr>
            <w:tcW w:w="4398" w:type="dxa"/>
            <w:shd w:val="clear" w:color="auto" w:fill="auto"/>
            <w:vAlign w:val="center"/>
          </w:tcPr>
          <w:p>
            <w:pPr>
              <w:spacing w:line="300" w:lineRule="exact"/>
              <w:jc w:val="center"/>
              <w:rPr>
                <w:rFonts w:hint="eastAsia" w:ascii="Times New Roman" w:hAnsi="Times New Roman" w:eastAsia="方正书宋_GBK" w:cstheme="minorBidi"/>
                <w:kern w:val="2"/>
                <w:sz w:val="21"/>
                <w:szCs w:val="24"/>
                <w:lang w:val="en-US" w:eastAsia="zh-CN" w:bidi="ar-SA"/>
              </w:rPr>
            </w:pPr>
            <w:r>
              <w:rPr>
                <w:rFonts w:hint="eastAsia" w:ascii="方正书宋_GBK" w:eastAsia="方正书宋_GBK"/>
              </w:rPr>
              <w:t>财政性资金定额或定</w:t>
            </w:r>
            <w:r>
              <w:rPr>
                <w:rFonts w:hint="eastAsia" w:ascii="方正书宋_GBK" w:eastAsia="方正书宋_GBK"/>
                <w:lang w:val="en-US" w:eastAsia="zh-CN"/>
              </w:rPr>
              <w:t>向</w:t>
            </w:r>
            <w:r>
              <w:rPr>
                <w:rFonts w:hint="eastAsia" w:ascii="方正书宋_GBK" w:eastAsia="方正书宋_GBK"/>
              </w:rPr>
              <w:t>补助</w:t>
            </w:r>
            <w:r>
              <w:rPr>
                <w:rFonts w:hint="eastAsia" w:ascii="方正书宋_GBK" w:eastAsia="方正书宋_GBK"/>
                <w:lang w:eastAsia="zh-CN"/>
              </w:rPr>
              <w:t>（</w:t>
            </w:r>
            <w:r>
              <w:rPr>
                <w:rFonts w:hint="eastAsia" w:ascii="方正书宋_GBK" w:eastAsia="方正书宋_GBK"/>
                <w:lang w:val="en-US" w:eastAsia="zh-CN"/>
              </w:rPr>
              <w:t>差额事业</w:t>
            </w:r>
            <w:r>
              <w:rPr>
                <w:rFonts w:hint="eastAsia" w:ascii="方正书宋_GBK" w:eastAsia="方正书宋_GBK"/>
                <w:lang w:eastAsia="zh-CN"/>
              </w:rPr>
              <w:t>）</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550.24</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550.24</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供销合作社联合社</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年度部门预算中支出预算的总体情况。20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550.24</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475.24</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475.24</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75.00</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 w:hAnsi="仿宋" w:eastAsia="仿宋" w:cs="仿宋"/>
          <w:sz w:val="32"/>
          <w:szCs w:val="32"/>
          <w:lang w:val="en-US" w:eastAsia="zh-CN"/>
        </w:rPr>
        <w:t>霸州市农村产权交易中心经费和市级食盐储备库所需资金</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20</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550.24</w:t>
      </w:r>
      <w:r>
        <w:rPr>
          <w:rFonts w:hint="eastAsia" w:ascii="仿宋_GB2312" w:hAnsi="Times New Roman" w:eastAsia="仿宋_GB2312" w:cs="Times New Roman"/>
          <w:color w:val="000000" w:themeColor="text1"/>
          <w:sz w:val="32"/>
          <w:szCs w:val="32"/>
        </w:rPr>
        <w:t>万元，较20</w:t>
      </w:r>
      <w:r>
        <w:rPr>
          <w:rFonts w:ascii="仿宋_GB2312" w:hAnsi="Times New Roman" w:eastAsia="仿宋_GB2312" w:cs="Times New Roman"/>
          <w:color w:val="000000" w:themeColor="text1"/>
          <w:sz w:val="32"/>
          <w:szCs w:val="32"/>
        </w:rPr>
        <w:t>19</w:t>
      </w:r>
      <w:r>
        <w:rPr>
          <w:rFonts w:hint="eastAsia" w:ascii="仿宋_GB2312" w:hAnsi="Times New Roman" w:eastAsia="仿宋_GB2312" w:cs="Times New Roman"/>
          <w:color w:val="000000" w:themeColor="text1"/>
          <w:sz w:val="32"/>
          <w:szCs w:val="32"/>
        </w:rPr>
        <w:t>年预算</w:t>
      </w:r>
      <w:r>
        <w:rPr>
          <w:rFonts w:hint="eastAsia" w:ascii="仿宋_GB2312" w:hAnsi="Times New Roman" w:eastAsia="仿宋_GB2312" w:cs="Times New Roman"/>
          <w:color w:val="000000" w:themeColor="text1"/>
          <w:sz w:val="32"/>
          <w:szCs w:val="32"/>
          <w:lang w:val="en-US" w:eastAsia="zh-CN"/>
        </w:rPr>
        <w:t>增加175.24</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lang w:val="en-US" w:eastAsia="zh-CN"/>
        </w:rPr>
        <w:t>增加230.24</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lang w:val="en-US" w:eastAsia="zh-CN"/>
        </w:rPr>
        <w:t>增加对个人和家庭的补助离退休费</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val="en-US" w:eastAsia="zh-CN"/>
        </w:rPr>
        <w:t>减少55.00</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lang w:val="en-US" w:eastAsia="zh-CN"/>
        </w:rPr>
        <w:t>减少</w:t>
      </w:r>
      <w:r>
        <w:rPr>
          <w:rFonts w:hint="eastAsia" w:ascii="仿宋" w:hAnsi="仿宋" w:eastAsia="仿宋" w:cs="仿宋"/>
          <w:sz w:val="32"/>
          <w:szCs w:val="32"/>
          <w:lang w:val="en-US" w:eastAsia="zh-CN"/>
        </w:rPr>
        <w:t>霸州市供销社盐业管理办公室执法经费</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 w:hAnsi="仿宋" w:eastAsia="仿宋" w:cs="仿宋"/>
          <w:sz w:val="32"/>
          <w:szCs w:val="32"/>
        </w:rPr>
        <w:t>财政</w:t>
      </w:r>
      <w:r>
        <w:rPr>
          <w:rFonts w:hint="eastAsia" w:ascii="仿宋" w:hAnsi="仿宋" w:eastAsia="仿宋" w:cs="仿宋"/>
          <w:sz w:val="32"/>
          <w:szCs w:val="32"/>
          <w:lang w:val="en-US" w:eastAsia="zh-CN"/>
        </w:rPr>
        <w:t>性资金</w:t>
      </w:r>
      <w:r>
        <w:rPr>
          <w:rFonts w:hint="eastAsia" w:ascii="仿宋" w:hAnsi="仿宋" w:eastAsia="仿宋" w:cs="仿宋"/>
          <w:sz w:val="32"/>
          <w:szCs w:val="32"/>
        </w:rPr>
        <w:t>定额补助单位，只</w:t>
      </w:r>
      <w:r>
        <w:rPr>
          <w:rFonts w:hint="eastAsia" w:ascii="仿宋" w:hAnsi="仿宋" w:eastAsia="仿宋" w:cs="仿宋"/>
          <w:sz w:val="32"/>
          <w:szCs w:val="32"/>
          <w:lang w:val="en-US" w:eastAsia="zh-CN"/>
        </w:rPr>
        <w:t>拨付部分</w:t>
      </w:r>
      <w:r>
        <w:rPr>
          <w:rFonts w:hint="eastAsia" w:ascii="仿宋" w:hAnsi="仿宋" w:eastAsia="仿宋" w:cs="仿宋"/>
          <w:sz w:val="32"/>
          <w:szCs w:val="32"/>
        </w:rPr>
        <w:t>人员工资</w:t>
      </w:r>
      <w:r>
        <w:rPr>
          <w:rFonts w:hint="eastAsia" w:ascii="仿宋" w:hAnsi="仿宋" w:eastAsia="仿宋" w:cs="仿宋"/>
          <w:sz w:val="32"/>
          <w:szCs w:val="32"/>
          <w:lang w:val="en-US" w:eastAsia="zh-CN"/>
        </w:rPr>
        <w:t>福利支出。</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万元，较20</w:t>
      </w:r>
      <w:r>
        <w:rPr>
          <w:rFonts w:ascii="仿宋_GB2312" w:hAnsi="Times New Roman" w:eastAsia="仿宋_GB2312" w:cs="Times New Roman"/>
          <w:sz w:val="32"/>
          <w:szCs w:val="32"/>
        </w:rPr>
        <w:t>19</w:t>
      </w:r>
      <w:r>
        <w:rPr>
          <w:rFonts w:hint="eastAsia" w:ascii="仿宋_GB2312" w:hAnsi="Times New Roman" w:eastAsia="仿宋_GB2312" w:cs="Times New Roman"/>
          <w:sz w:val="32"/>
          <w:szCs w:val="32"/>
        </w:rPr>
        <w:t>年“三公”经费</w:t>
      </w:r>
      <w:r>
        <w:rPr>
          <w:rFonts w:hint="eastAsia" w:ascii="仿宋_GB2312" w:hAnsi="Times New Roman" w:eastAsia="仿宋_GB2312" w:cs="Times New Roman"/>
          <w:sz w:val="32"/>
          <w:szCs w:val="32"/>
          <w:lang w:val="en-US" w:eastAsia="zh-CN"/>
        </w:rPr>
        <w:t>持平</w:t>
      </w:r>
      <w:r>
        <w:rPr>
          <w:rFonts w:hint="eastAsia" w:ascii="仿宋_GB2312" w:hAnsi="Times New Roman" w:eastAsia="仿宋_GB2312" w:cs="Times New Roman"/>
          <w:sz w:val="32"/>
          <w:szCs w:val="32"/>
        </w:rPr>
        <w:t>，</w:t>
      </w:r>
      <w:r>
        <w:rPr>
          <w:rFonts w:hint="eastAsia" w:ascii="仿宋" w:hAnsi="仿宋" w:eastAsia="仿宋" w:cs="仿宋"/>
          <w:sz w:val="32"/>
          <w:szCs w:val="32"/>
        </w:rPr>
        <w:t>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hint="eastAsia" w:ascii="仿宋" w:hAnsi="仿宋" w:eastAsia="仿宋" w:cs="仿宋"/>
        </w:rPr>
      </w:pPr>
      <w:r>
        <w:rPr>
          <w:rFonts w:hint="eastAsia" w:ascii="仿宋" w:hAnsi="仿宋" w:eastAsia="仿宋" w:cs="仿宋"/>
          <w:sz w:val="32"/>
          <w:szCs w:val="32"/>
          <w:lang w:val="en-US" w:eastAsia="zh-CN"/>
        </w:rPr>
        <w:t>发展</w:t>
      </w:r>
      <w:r>
        <w:rPr>
          <w:rFonts w:hint="eastAsia" w:ascii="仿宋_GB2312" w:hAnsi="Times New Roman" w:eastAsia="仿宋_GB2312" w:cs="Times New Roman"/>
          <w:sz w:val="32"/>
          <w:szCs w:val="32"/>
          <w:lang w:val="en-US" w:eastAsia="zh-CN"/>
        </w:rPr>
        <w:t>生产、供销、信用“三位一体”综合合作，深化供销社综合改革，不断提升为农服务能力，加快打造城乡综合服务平台，提升农产品流通水平， 成为与农民联结更紧密、为农服务功能更完备、市场化运行更高效的合作经 济组织体系，成为服务农民生产生活的生力军和综合平台。完善霸州市农村 产权交易体系，引导广大农民入市交易，加强农村产权交易中心运营工作。 做好食盐应急储备，保证全市盐产品正常供应。管理运营本级社有资产，确 保社有资产保值增值，化解金融风险。负责机关及直属单位党建、精神文明 建设和政治思想工作，成为党和政府密切联系农民群众的桥梁纽带，切实在农业现代化建设中更好地发挥作用。</w:t>
      </w:r>
    </w:p>
    <w:p>
      <w:pPr>
        <w:keepNext w:val="0"/>
        <w:keepLines w:val="0"/>
        <w:widowControl/>
        <w:suppressLineNumbers w:val="0"/>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二</w:t>
      </w:r>
      <w:r>
        <w:rPr>
          <w:rFonts w:hint="eastAsia" w:ascii="仿宋_GB2312" w:hAnsi="Times New Roman" w:eastAsia="仿宋_GB2312" w:cs="Times New Roman"/>
          <w:sz w:val="32"/>
          <w:szCs w:val="32"/>
        </w:rPr>
        <w:t>）分项</w:t>
      </w:r>
      <w:r>
        <w:rPr>
          <w:rFonts w:ascii="仿宋_GB2312" w:hAnsi="Times New Roman" w:eastAsia="仿宋_GB2312" w:cs="Times New Roman"/>
          <w:sz w:val="32"/>
          <w:szCs w:val="32"/>
        </w:rPr>
        <w:t>绩效目标</w:t>
      </w:r>
    </w:p>
    <w:p>
      <w:pPr>
        <w:ind w:firstLine="64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 xml:space="preserve">1、完善霸州市农村产权交易中心城乡网络 </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绩效目标：完善霸州市农村产权交易体系，引导广大农民入市交易，加</w:t>
      </w:r>
      <w:r>
        <w:rPr>
          <w:rFonts w:hint="default" w:ascii="仿宋_GB2312" w:hAnsi="Times New Roman" w:eastAsia="仿宋_GB2312" w:cs="Times New Roman"/>
          <w:sz w:val="32"/>
          <w:szCs w:val="32"/>
          <w:lang w:val="en-US" w:eastAsia="zh-CN"/>
        </w:rPr>
        <w:t xml:space="preserve">强农村产权交易中心运营工作。 </w:t>
      </w:r>
    </w:p>
    <w:p>
      <w:pPr>
        <w:ind w:firstLine="640" w:firstLineChars="200"/>
        <w:rPr>
          <w:rFonts w:hint="eastAsia"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绩效指标：霸州市各乡镇组建 15 个农村产权交易分站；出台 2 个入市交易相应规定和管理办法；开展 1次全市产权平台宣传培训工作。 </w:t>
      </w:r>
    </w:p>
    <w:p>
      <w:pPr>
        <w:ind w:firstLine="640"/>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2、</w:t>
      </w:r>
      <w:r>
        <w:rPr>
          <w:rFonts w:hint="default" w:ascii="楷体_GB2312" w:hAnsi="Times New Roman" w:eastAsia="楷体_GB2312" w:cs="Times New Roman"/>
          <w:b/>
          <w:sz w:val="32"/>
          <w:szCs w:val="32"/>
          <w:lang w:val="en-US" w:eastAsia="zh-CN"/>
        </w:rPr>
        <w:t xml:space="preserve">确保全市食盐市场供应安全 </w:t>
      </w:r>
    </w:p>
    <w:p>
      <w:pPr>
        <w:ind w:firstLine="640" w:firstLineChars="200"/>
        <w:rPr>
          <w:rFonts w:hint="eastAsia"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绩效目标：保证全市盐产品正常供应。</w:t>
      </w:r>
    </w:p>
    <w:p>
      <w:pPr>
        <w:ind w:firstLine="640" w:firstLineChars="200"/>
        <w:rPr>
          <w:rFonts w:hint="eastAsia"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绩效指标：完成应急储备食盐 488 吨，保证储备充足，按时补充损耗</w:t>
      </w:r>
      <w:r>
        <w:rPr>
          <w:rFonts w:hint="eastAsia" w:ascii="仿宋_GB2312" w:hAnsi="Times New Roman" w:eastAsia="仿宋_GB2312" w:cs="Times New Roman"/>
          <w:sz w:val="32"/>
          <w:szCs w:val="32"/>
          <w:lang w:val="en-US" w:eastAsia="zh-CN"/>
        </w:rPr>
        <w:t>；</w:t>
      </w:r>
      <w:r>
        <w:rPr>
          <w:rFonts w:hint="default" w:ascii="仿宋_GB2312" w:hAnsi="Times New Roman" w:eastAsia="仿宋_GB2312" w:cs="Times New Roman"/>
          <w:sz w:val="32"/>
          <w:szCs w:val="32"/>
          <w:lang w:val="en-US" w:eastAsia="zh-CN"/>
        </w:rPr>
        <w:t>完成销售盐类产品 2400 吨。</w:t>
      </w:r>
    </w:p>
    <w:p>
      <w:pPr>
        <w:keepNext w:val="0"/>
        <w:keepLines w:val="0"/>
        <w:widowControl/>
        <w:suppressLineNumbers w:val="0"/>
        <w:ind w:firstLine="643" w:firstLineChars="200"/>
        <w:jc w:val="left"/>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3、</w:t>
      </w:r>
      <w:r>
        <w:rPr>
          <w:rFonts w:hint="default" w:ascii="楷体_GB2312" w:hAnsi="Times New Roman" w:eastAsia="楷体_GB2312" w:cs="Times New Roman"/>
          <w:b/>
          <w:sz w:val="32"/>
          <w:szCs w:val="32"/>
          <w:lang w:val="en-US" w:eastAsia="zh-CN"/>
        </w:rPr>
        <w:t xml:space="preserve">指导开展农村土地托管业务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绩效目标：指导农民开展土地托管，防止土地闲置。 </w:t>
      </w:r>
    </w:p>
    <w:p>
      <w:pPr>
        <w:ind w:firstLine="640" w:firstLineChars="200"/>
      </w:pPr>
      <w:r>
        <w:rPr>
          <w:rFonts w:hint="default" w:ascii="仿宋_GB2312" w:hAnsi="Times New Roman" w:eastAsia="仿宋_GB2312" w:cs="Times New Roman"/>
          <w:sz w:val="32"/>
          <w:szCs w:val="32"/>
          <w:lang w:val="en-US" w:eastAsia="zh-CN"/>
        </w:rPr>
        <w:t>绩效指标：积极对接农民合作组织，全年完成土地托管 5.5 万亩。</w:t>
      </w:r>
      <w:r>
        <w:rPr>
          <w:rFonts w:hint="default" w:ascii="方正仿宋_GBK" w:hAnsi="方正仿宋_GBK" w:eastAsia="方正仿宋_GBK" w:cs="方正仿宋_GBK"/>
          <w:color w:val="000000"/>
          <w:kern w:val="0"/>
          <w:sz w:val="28"/>
          <w:szCs w:val="28"/>
          <w:lang w:val="en-US" w:eastAsia="zh-CN" w:bidi="ar"/>
        </w:rPr>
        <w:t xml:space="preserve"> </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4、</w:t>
      </w:r>
      <w:r>
        <w:rPr>
          <w:rFonts w:hint="default" w:ascii="楷体_GB2312" w:hAnsi="Times New Roman" w:eastAsia="楷体_GB2312" w:cs="Times New Roman"/>
          <w:b/>
          <w:sz w:val="32"/>
          <w:szCs w:val="32"/>
          <w:lang w:val="en-US" w:eastAsia="zh-CN"/>
        </w:rPr>
        <w:t xml:space="preserve">监督和管理社有资产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绩效目标：确保社有资产保值增值，化解金融风险。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绩效指标： 每半年开展 1 次社有资产清查。 </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5、</w:t>
      </w:r>
      <w:r>
        <w:rPr>
          <w:rFonts w:hint="default" w:ascii="楷体_GB2312" w:hAnsi="Times New Roman" w:eastAsia="楷体_GB2312" w:cs="Times New Roman"/>
          <w:b/>
          <w:sz w:val="32"/>
          <w:szCs w:val="32"/>
          <w:lang w:val="en-US" w:eastAsia="zh-CN"/>
        </w:rPr>
        <w:t xml:space="preserve">供销系统安全稳定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绩效目标：加强各项安全防范责任和措施，全年无重特大事故发生。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绩效指标：严格执行领导包联制度，对供销全系统开展 6 次安全生产检查</w:t>
      </w:r>
      <w:r>
        <w:rPr>
          <w:rFonts w:hint="eastAsia" w:ascii="仿宋_GB2312" w:hAnsi="Times New Roman" w:eastAsia="仿宋_GB2312" w:cs="Times New Roman"/>
          <w:sz w:val="32"/>
          <w:szCs w:val="32"/>
          <w:lang w:val="en-US" w:eastAsia="zh-CN"/>
        </w:rPr>
        <w:t>。</w:t>
      </w:r>
    </w:p>
    <w:p>
      <w:pPr>
        <w:numPr>
          <w:ilvl w:val="0"/>
          <w:numId w:val="1"/>
        </w:num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工作保障</w:t>
      </w:r>
      <w:r>
        <w:rPr>
          <w:rFonts w:ascii="仿宋_GB2312" w:hAnsi="Times New Roman" w:eastAsia="仿宋_GB2312" w:cs="Times New Roman"/>
          <w:sz w:val="32"/>
          <w:szCs w:val="32"/>
        </w:rPr>
        <w:t>措施</w:t>
      </w:r>
    </w:p>
    <w:p>
      <w:pPr>
        <w:keepNext w:val="0"/>
        <w:keepLines w:val="0"/>
        <w:widowControl/>
        <w:suppressLineNumbers w:val="0"/>
        <w:ind w:firstLine="643" w:firstLineChars="200"/>
        <w:jc w:val="left"/>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1、完善制度建设。</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制定完善预算绩效管理制度，为全年预算绩效目标的实现奠定制度基础。 </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2、</w:t>
      </w:r>
      <w:r>
        <w:rPr>
          <w:rFonts w:hint="default" w:ascii="楷体_GB2312" w:hAnsi="Times New Roman" w:eastAsia="楷体_GB2312" w:cs="Times New Roman"/>
          <w:b/>
          <w:sz w:val="32"/>
          <w:szCs w:val="32"/>
          <w:lang w:val="en-US" w:eastAsia="zh-CN"/>
        </w:rPr>
        <w:t>加强支出管理。</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通过优化支出结构、编细编实预算、加快履行政府采购手续、尽快启动项目、及时支付资金、确保支出进度达标。 </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3、</w:t>
      </w:r>
      <w:r>
        <w:rPr>
          <w:rFonts w:hint="default" w:ascii="楷体_GB2312" w:hAnsi="Times New Roman" w:eastAsia="楷体_GB2312" w:cs="Times New Roman"/>
          <w:b/>
          <w:sz w:val="32"/>
          <w:szCs w:val="32"/>
          <w:lang w:val="en-US" w:eastAsia="zh-CN"/>
        </w:rPr>
        <w:t>加强绩效运行监控。</w:t>
      </w:r>
    </w:p>
    <w:p>
      <w:pPr>
        <w:keepNext w:val="0"/>
        <w:keepLines w:val="0"/>
        <w:widowControl/>
        <w:numPr>
          <w:ilvl w:val="0"/>
          <w:numId w:val="0"/>
        </w:numPr>
        <w:suppressLineNumbers w:val="0"/>
        <w:ind w:leftChars="0" w:firstLine="640" w:firstLineChars="200"/>
        <w:jc w:val="left"/>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按要求开展绩效运行监控，发现问题及时采取措施，确保绩效目标如期保质实现。 </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4、</w:t>
      </w:r>
      <w:r>
        <w:rPr>
          <w:rFonts w:hint="default" w:ascii="楷体_GB2312" w:hAnsi="Times New Roman" w:eastAsia="楷体_GB2312" w:cs="Times New Roman"/>
          <w:b/>
          <w:sz w:val="32"/>
          <w:szCs w:val="32"/>
          <w:lang w:val="en-US" w:eastAsia="zh-CN"/>
        </w:rPr>
        <w:t>做好绩效自评。</w:t>
      </w:r>
    </w:p>
    <w:p>
      <w:pPr>
        <w:keepNext w:val="0"/>
        <w:keepLines w:val="0"/>
        <w:widowControl/>
        <w:numPr>
          <w:ilvl w:val="0"/>
          <w:numId w:val="0"/>
        </w:numPr>
        <w:suppressLineNumbers w:val="0"/>
        <w:ind w:leftChars="0" w:firstLine="640" w:firstLineChars="200"/>
        <w:jc w:val="left"/>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按要求开展上年度部门预算绩效自评和重点评价工作，对评价中发现的问题及时整改，调整优化支出结构，提高财政资金使用效益。 </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5、</w:t>
      </w:r>
      <w:r>
        <w:rPr>
          <w:rFonts w:hint="default" w:ascii="楷体_GB2312" w:hAnsi="Times New Roman" w:eastAsia="楷体_GB2312" w:cs="Times New Roman"/>
          <w:b/>
          <w:sz w:val="32"/>
          <w:szCs w:val="32"/>
          <w:lang w:val="en-US" w:eastAsia="zh-CN"/>
        </w:rPr>
        <w:t>加强宣传培训。</w:t>
      </w:r>
    </w:p>
    <w:p>
      <w:pPr>
        <w:keepNext w:val="0"/>
        <w:keepLines w:val="0"/>
        <w:widowControl/>
        <w:numPr>
          <w:ilvl w:val="0"/>
          <w:numId w:val="0"/>
        </w:numPr>
        <w:suppressLineNumbers w:val="0"/>
        <w:ind w:leftChars="0" w:firstLine="640" w:firstLineChars="200"/>
        <w:jc w:val="left"/>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加强人员培训，提高本部门职工业务素质；加大宣传力度，强化预算绩效管理意识，促进预算绩效管理水平进一步提升</w:t>
      </w:r>
      <w:r>
        <w:rPr>
          <w:rFonts w:hint="eastAsia" w:ascii="仿宋_GB2312" w:hAnsi="Times New Roman" w:eastAsia="仿宋_GB2312" w:cs="Times New Roman"/>
          <w:sz w:val="32"/>
          <w:szCs w:val="32"/>
          <w:lang w:val="en-US" w:eastAsia="zh-CN"/>
        </w:rPr>
        <w:t>。</w:t>
      </w:r>
    </w:p>
    <w:p>
      <w:pPr>
        <w:numPr>
          <w:ilvl w:val="0"/>
          <w:numId w:val="0"/>
        </w:numPr>
        <w:rPr>
          <w:rFonts w:ascii="仿宋_GB2312" w:hAnsi="Times New Roman" w:eastAsia="仿宋_GB2312" w:cs="Times New Roman"/>
          <w:sz w:val="32"/>
          <w:szCs w:val="32"/>
        </w:rPr>
      </w:pPr>
    </w:p>
    <w:p>
      <w:pPr>
        <w:numPr>
          <w:ilvl w:val="0"/>
          <w:numId w:val="2"/>
        </w:num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预算项目</w:t>
      </w:r>
      <w:r>
        <w:rPr>
          <w:rFonts w:ascii="楷体_GB2312" w:hAnsi="Times New Roman" w:eastAsia="楷体_GB2312" w:cs="Times New Roman"/>
          <w:b/>
          <w:sz w:val="32"/>
          <w:szCs w:val="32"/>
        </w:rPr>
        <w:t>绩效目标</w:t>
      </w:r>
    </w:p>
    <w:p>
      <w:pPr>
        <w:keepNext w:val="0"/>
        <w:keepLines w:val="0"/>
        <w:widowControl/>
        <w:suppressLineNumbers w:val="0"/>
        <w:ind w:firstLine="560" w:firstLineChars="200"/>
        <w:jc w:val="left"/>
        <w:rPr>
          <w:rFonts w:ascii="楷体_GB2312" w:hAnsi="Times New Roman" w:eastAsia="楷体_GB2312" w:cs="Times New Roman"/>
          <w:b/>
          <w:sz w:val="32"/>
          <w:szCs w:val="32"/>
        </w:rPr>
      </w:pPr>
      <w:r>
        <w:rPr>
          <w:rFonts w:hint="eastAsia" w:ascii="方正仿宋_GBK" w:eastAsia="方正仿宋_GBK"/>
          <w:b/>
          <w:sz w:val="28"/>
        </w:rPr>
        <w:t>1、</w:t>
      </w:r>
      <w:r>
        <w:rPr>
          <w:rFonts w:hint="eastAsia" w:ascii="方正仿宋_GBK" w:eastAsia="方正仿宋_GBK"/>
          <w:b/>
          <w:sz w:val="28"/>
          <w:lang w:val="en-US" w:eastAsia="zh-CN"/>
        </w:rPr>
        <w:t>霸州市农村产权交易中心经费</w:t>
      </w:r>
      <w:r>
        <w:rPr>
          <w:rFonts w:hint="eastAsia" w:ascii="方正仿宋_GBK" w:eastAsia="方正仿宋_GBK"/>
          <w:b/>
          <w:sz w:val="28"/>
        </w:rPr>
        <w:t>绩效目标表</w:t>
      </w:r>
    </w:p>
    <w:bookmarkEnd w:id="1"/>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5"/>
        <w:gridCol w:w="109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5"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973" w:type="dxa"/>
            <w:tcBorders>
              <w:top w:val="single" w:color="000000" w:sz="6" w:space="0"/>
              <w:left w:val="single" w:color="000000" w:sz="6" w:space="0"/>
              <w:bottom w:val="nil"/>
              <w:right w:val="single" w:color="000000" w:sz="6" w:space="0"/>
            </w:tcBorders>
            <w:vAlign w:val="center"/>
          </w:tcPr>
          <w:p>
            <w:pPr>
              <w:spacing w:line="300" w:lineRule="exact"/>
              <w:jc w:val="both"/>
              <w:rPr>
                <w:rFonts w:hint="eastAsia" w:ascii="方正书宋_GBK" w:eastAsia="方正书宋_GBK"/>
                <w:b/>
              </w:rPr>
            </w:pPr>
            <w:r>
              <w:rPr>
                <w:rFonts w:ascii="方正书宋_GBK" w:hAnsi="方正书宋_GBK" w:eastAsia="方正书宋_GBK" w:cs="方正书宋_GBK"/>
                <w:color w:val="000000"/>
                <w:kern w:val="0"/>
                <w:sz w:val="21"/>
                <w:szCs w:val="21"/>
                <w:lang w:val="en-US" w:eastAsia="zh-CN" w:bidi="ar"/>
              </w:rPr>
              <w:t>1</w:t>
            </w:r>
            <w:r>
              <w:rPr>
                <w:rFonts w:hint="eastAsia" w:ascii="方正书宋_GBK" w:eastAsia="方正书宋_GBK"/>
                <w:b/>
                <w:lang w:val="en-US" w:eastAsia="zh-CN"/>
              </w:rPr>
              <w:t xml:space="preserve">、完成乡镇级交易平台建设，与县级平台做好对接；做好宣传与推广，让更多人了解、 </w:t>
            </w:r>
            <w:r>
              <w:rPr>
                <w:rFonts w:hint="default" w:ascii="方正书宋_GBK" w:eastAsia="方正书宋_GBK"/>
                <w:b/>
                <w:lang w:val="en-US" w:eastAsia="zh-CN"/>
              </w:rPr>
              <w:t>关注产权交易平台；引导农村产权进入公开市场交易，进一步规范农村产权流转交易行为。</w:t>
            </w:r>
          </w:p>
          <w:p>
            <w:pPr>
              <w:spacing w:line="300" w:lineRule="exact"/>
              <w:jc w:val="left"/>
              <w:rPr>
                <w:rFonts w:ascii="方正书宋_GBK" w:eastAsia="方正书宋_GBK"/>
              </w:rPr>
            </w:pP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8"/>
        <w:gridCol w:w="2080"/>
        <w:gridCol w:w="2404"/>
        <w:gridCol w:w="3493"/>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2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4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4" w:hRule="atLeast"/>
          <w:jc w:val="center"/>
        </w:trPr>
        <w:tc>
          <w:tcPr>
            <w:tcW w:w="186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数量指标</w:t>
            </w:r>
          </w:p>
          <w:p>
            <w:pPr>
              <w:spacing w:line="300" w:lineRule="exact"/>
              <w:jc w:val="center"/>
              <w:rPr>
                <w:rFonts w:hint="eastAsia" w:ascii="方正书宋_GBK" w:eastAsia="方正书宋_GBK"/>
              </w:rPr>
            </w:pPr>
          </w:p>
        </w:tc>
        <w:tc>
          <w:tcPr>
            <w:tcW w:w="24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乡镇平台建设</w:t>
            </w:r>
          </w:p>
          <w:p>
            <w:pPr>
              <w:spacing w:line="300" w:lineRule="exact"/>
              <w:jc w:val="center"/>
              <w:rPr>
                <w:rFonts w:hint="eastAsia" w:ascii="方正书宋_GBK" w:eastAsia="方正书宋_GBK"/>
              </w:rPr>
            </w:pPr>
          </w:p>
        </w:tc>
        <w:tc>
          <w:tcPr>
            <w:tcW w:w="34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完成全市乡镇级平台建设数量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15 个</w:t>
            </w:r>
          </w:p>
          <w:p>
            <w:pPr>
              <w:spacing w:line="300" w:lineRule="exact"/>
              <w:jc w:val="center"/>
              <w:rPr>
                <w:rFonts w:hint="eastAsia" w:ascii="方正书宋_GBK" w:eastAsia="方正书宋_GBK"/>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计划标准</w:t>
            </w:r>
          </w:p>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2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数量指标</w:t>
            </w:r>
          </w:p>
          <w:p>
            <w:pPr>
              <w:spacing w:line="300" w:lineRule="exact"/>
              <w:jc w:val="center"/>
              <w:rPr>
                <w:rFonts w:hint="eastAsia" w:ascii="方正书宋_GBK" w:eastAsia="方正书宋_GBK"/>
              </w:rPr>
            </w:pPr>
          </w:p>
        </w:tc>
        <w:tc>
          <w:tcPr>
            <w:tcW w:w="24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完成总量</w:t>
            </w:r>
            <w:r>
              <w:rPr>
                <w:rFonts w:hint="default" w:ascii="方正书宋_GBK" w:eastAsia="方正书宋_GBK"/>
                <w:lang w:val="en-US" w:eastAsia="zh-CN"/>
              </w:rPr>
              <w:t>（亩）</w:t>
            </w:r>
          </w:p>
          <w:p>
            <w:pPr>
              <w:spacing w:line="300" w:lineRule="exact"/>
              <w:jc w:val="center"/>
              <w:rPr>
                <w:rFonts w:hint="eastAsia" w:ascii="方正书宋_GBK" w:eastAsia="方正书宋_GBK"/>
              </w:rPr>
            </w:pPr>
          </w:p>
        </w:tc>
        <w:tc>
          <w:tcPr>
            <w:tcW w:w="34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通过在农村产权交易中心挂</w:t>
            </w:r>
          </w:p>
          <w:p>
            <w:pPr>
              <w:spacing w:line="300" w:lineRule="exact"/>
              <w:jc w:val="center"/>
              <w:rPr>
                <w:rFonts w:hint="eastAsia" w:ascii="方正书宋_GBK" w:eastAsia="方正书宋_GBK"/>
              </w:rPr>
            </w:pPr>
            <w:r>
              <w:rPr>
                <w:rFonts w:hint="default" w:ascii="方正书宋_GBK" w:eastAsia="方正书宋_GBK"/>
                <w:lang w:val="en-US" w:eastAsia="zh-CN"/>
              </w:rPr>
              <w:t>牌、交易、办理签证的数量值</w:t>
            </w:r>
          </w:p>
          <w:p>
            <w:pPr>
              <w:spacing w:line="300" w:lineRule="exact"/>
              <w:jc w:val="center"/>
              <w:rPr>
                <w:rFonts w:hint="eastAsia" w:ascii="方正书宋_GBK" w:eastAsia="方正书宋_GBK"/>
              </w:rPr>
            </w:pP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≥100 亩</w:t>
            </w:r>
          </w:p>
          <w:p>
            <w:pPr>
              <w:spacing w:line="300" w:lineRule="exact"/>
              <w:jc w:val="center"/>
              <w:rPr>
                <w:rFonts w:hint="eastAsia" w:ascii="方正书宋_GBK" w:eastAsia="方正书宋_GBK"/>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0" w:hRule="atLeast"/>
          <w:jc w:val="center"/>
        </w:trPr>
        <w:tc>
          <w:tcPr>
            <w:tcW w:w="186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2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 xml:space="preserve">数量指标 </w:t>
            </w:r>
          </w:p>
          <w:p>
            <w:pPr>
              <w:spacing w:line="300" w:lineRule="exact"/>
              <w:jc w:val="center"/>
              <w:rPr>
                <w:rFonts w:hint="eastAsia" w:ascii="方正书宋_GBK" w:eastAsia="方正书宋_GBK"/>
              </w:rPr>
            </w:pPr>
          </w:p>
        </w:tc>
        <w:tc>
          <w:tcPr>
            <w:tcW w:w="24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制度建设</w:t>
            </w:r>
          </w:p>
          <w:p>
            <w:pPr>
              <w:spacing w:line="300" w:lineRule="exact"/>
              <w:jc w:val="center"/>
              <w:rPr>
                <w:rFonts w:hint="eastAsia" w:ascii="方正书宋_GBK" w:eastAsia="方正书宋_GBK"/>
              </w:rPr>
            </w:pPr>
          </w:p>
        </w:tc>
        <w:tc>
          <w:tcPr>
            <w:tcW w:w="34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出台各种管理办法及农村集</w:t>
            </w:r>
            <w:r>
              <w:rPr>
                <w:rFonts w:hint="default" w:ascii="方正书宋_GBK" w:eastAsia="方正书宋_GBK"/>
                <w:lang w:val="en-US" w:eastAsia="zh-CN"/>
              </w:rPr>
              <w:t xml:space="preserve">体资产和农村建设项目入市交易的规定 </w:t>
            </w:r>
          </w:p>
          <w:p>
            <w:pPr>
              <w:spacing w:line="300" w:lineRule="exact"/>
              <w:jc w:val="center"/>
              <w:rPr>
                <w:rFonts w:hint="eastAsia" w:ascii="方正书宋_GBK" w:eastAsia="方正书宋_GBK"/>
              </w:rPr>
            </w:pP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 xml:space="preserve">≥4 个 </w:t>
            </w:r>
          </w:p>
          <w:p>
            <w:pPr>
              <w:spacing w:line="300" w:lineRule="exact"/>
              <w:jc w:val="center"/>
              <w:rPr>
                <w:rFonts w:hint="eastAsia" w:ascii="方正书宋_GBK" w:eastAsia="方正书宋_GBK"/>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 xml:space="preserve">计划标准 </w:t>
            </w:r>
          </w:p>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2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数量指标</w:t>
            </w:r>
          </w:p>
          <w:p>
            <w:pPr>
              <w:spacing w:line="300" w:lineRule="exact"/>
              <w:jc w:val="center"/>
              <w:rPr>
                <w:rFonts w:hint="eastAsia" w:ascii="方正书宋_GBK" w:eastAsia="方正书宋_GBK"/>
              </w:rPr>
            </w:pPr>
          </w:p>
        </w:tc>
        <w:tc>
          <w:tcPr>
            <w:tcW w:w="24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举办培训</w:t>
            </w:r>
          </w:p>
        </w:tc>
        <w:tc>
          <w:tcPr>
            <w:tcW w:w="34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平台操作员和全市村街的业务知识培训</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2项</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2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质量指标</w:t>
            </w:r>
          </w:p>
        </w:tc>
        <w:tc>
          <w:tcPr>
            <w:tcW w:w="24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交易签证率</w:t>
            </w:r>
          </w:p>
        </w:tc>
        <w:tc>
          <w:tcPr>
            <w:tcW w:w="34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发放交易签证的占挂牌交易的比例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rFonts w:ascii="方正书宋_GBK" w:eastAsia="方正书宋_GBK"/>
                <w:szCs w:val="24"/>
              </w:rPr>
            </w:pPr>
          </w:p>
        </w:tc>
        <w:tc>
          <w:tcPr>
            <w:tcW w:w="2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时效指标</w:t>
            </w:r>
          </w:p>
        </w:tc>
        <w:tc>
          <w:tcPr>
            <w:tcW w:w="24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各项工作按时完成率</w:t>
            </w:r>
          </w:p>
        </w:tc>
        <w:tc>
          <w:tcPr>
            <w:tcW w:w="34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各项工作按时完成率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1868"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2080" w:type="dxa"/>
            <w:tcBorders>
              <w:top w:val="single" w:color="000000" w:sz="6" w:space="0"/>
              <w:left w:val="single" w:color="auto" w:sz="4"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社会效益指标</w:t>
            </w:r>
          </w:p>
        </w:tc>
        <w:tc>
          <w:tcPr>
            <w:tcW w:w="24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整合土地资源</w:t>
            </w:r>
          </w:p>
        </w:tc>
        <w:tc>
          <w:tcPr>
            <w:tcW w:w="34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通过产权整合零散土地，形成规模化</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≥50亩</w:t>
            </w:r>
          </w:p>
          <w:p>
            <w:pPr>
              <w:spacing w:line="300" w:lineRule="exact"/>
              <w:jc w:val="center"/>
              <w:rPr>
                <w:rFonts w:hint="eastAsia" w:ascii="方正书宋_GBK" w:eastAsia="方正书宋_GBK"/>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方正书宋_GBK" w:eastAsia="方正书宋_GBK"/>
              </w:rPr>
            </w:pPr>
          </w:p>
        </w:tc>
        <w:tc>
          <w:tcPr>
            <w:tcW w:w="2080" w:type="dxa"/>
            <w:tcBorders>
              <w:top w:val="single" w:color="000000" w:sz="6" w:space="0"/>
              <w:left w:val="single" w:color="auto" w:sz="4"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可持续影响指标</w:t>
            </w:r>
          </w:p>
        </w:tc>
        <w:tc>
          <w:tcPr>
            <w:tcW w:w="24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平台持续发挥作用时间</w:t>
            </w:r>
          </w:p>
        </w:tc>
        <w:tc>
          <w:tcPr>
            <w:tcW w:w="34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平台持续发挥作用时间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 xml:space="preserve">≥3年 </w:t>
            </w:r>
          </w:p>
          <w:p>
            <w:pPr>
              <w:spacing w:line="300" w:lineRule="exact"/>
              <w:jc w:val="center"/>
              <w:rPr>
                <w:rFonts w:hint="eastAsia" w:ascii="方正书宋_GBK" w:eastAsia="方正书宋_GBK"/>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24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群众满意率</w:t>
            </w:r>
          </w:p>
        </w:tc>
        <w:tc>
          <w:tcPr>
            <w:tcW w:w="34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群众满意人数占全部调查人数的比例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计划标准</w:t>
            </w:r>
          </w:p>
        </w:tc>
      </w:tr>
    </w:tbl>
    <w:p>
      <w:pPr>
        <w:keepNext w:val="0"/>
        <w:keepLines w:val="0"/>
        <w:widowControl/>
        <w:suppressLineNumbers w:val="0"/>
        <w:ind w:firstLine="560" w:firstLineChars="200"/>
        <w:jc w:val="left"/>
        <w:rPr>
          <w:rFonts w:hint="eastAsia" w:ascii="方正仿宋_GBK" w:eastAsia="方正仿宋_GBK"/>
          <w:b/>
          <w:sz w:val="28"/>
          <w:lang w:val="en-US" w:eastAsia="zh-CN"/>
        </w:rPr>
      </w:pPr>
    </w:p>
    <w:p>
      <w:pPr>
        <w:keepNext w:val="0"/>
        <w:keepLines w:val="0"/>
        <w:widowControl/>
        <w:suppressLineNumbers w:val="0"/>
        <w:ind w:firstLine="560" w:firstLineChars="200"/>
        <w:jc w:val="left"/>
        <w:rPr>
          <w:rFonts w:hint="eastAsia" w:ascii="方正仿宋_GBK" w:eastAsia="方正仿宋_GBK"/>
          <w:b/>
          <w:sz w:val="28"/>
          <w:lang w:val="en-US" w:eastAsia="zh-CN"/>
        </w:rPr>
      </w:pPr>
    </w:p>
    <w:p>
      <w:pPr>
        <w:keepNext w:val="0"/>
        <w:keepLines w:val="0"/>
        <w:widowControl/>
        <w:suppressLineNumbers w:val="0"/>
        <w:ind w:firstLine="560" w:firstLineChars="200"/>
        <w:jc w:val="left"/>
        <w:rPr>
          <w:rFonts w:hint="eastAsia" w:ascii="方正仿宋_GBK" w:eastAsia="方正仿宋_GBK"/>
          <w:b/>
          <w:sz w:val="28"/>
          <w:lang w:val="en-US" w:eastAsia="zh-CN"/>
        </w:rPr>
      </w:pPr>
    </w:p>
    <w:p>
      <w:pPr>
        <w:keepNext w:val="0"/>
        <w:keepLines w:val="0"/>
        <w:widowControl/>
        <w:suppressLineNumbers w:val="0"/>
        <w:ind w:firstLine="560" w:firstLineChars="200"/>
        <w:jc w:val="left"/>
        <w:rPr>
          <w:rFonts w:hint="eastAsia" w:ascii="方正仿宋_GBK" w:eastAsia="方正仿宋_GBK"/>
          <w:b/>
          <w:sz w:val="28"/>
          <w:lang w:val="en-US" w:eastAsia="zh-CN"/>
        </w:rPr>
      </w:pPr>
    </w:p>
    <w:p>
      <w:pPr>
        <w:keepNext w:val="0"/>
        <w:keepLines w:val="0"/>
        <w:widowControl/>
        <w:suppressLineNumbers w:val="0"/>
        <w:ind w:firstLine="560" w:firstLineChars="200"/>
        <w:jc w:val="left"/>
        <w:rPr>
          <w:rFonts w:ascii="楷体_GB2312" w:hAnsi="Times New Roman" w:eastAsia="楷体_GB2312" w:cs="Times New Roman"/>
          <w:b/>
          <w:sz w:val="32"/>
          <w:szCs w:val="32"/>
        </w:rPr>
      </w:pPr>
      <w:r>
        <w:rPr>
          <w:rFonts w:hint="eastAsia" w:ascii="方正仿宋_GBK" w:eastAsia="方正仿宋_GBK"/>
          <w:b/>
          <w:sz w:val="28"/>
          <w:lang w:val="en-US" w:eastAsia="zh-CN"/>
        </w:rPr>
        <w:t>2</w:t>
      </w:r>
      <w:r>
        <w:rPr>
          <w:rFonts w:hint="eastAsia" w:ascii="方正仿宋_GBK" w:eastAsia="方正仿宋_GBK"/>
          <w:b/>
          <w:sz w:val="28"/>
        </w:rPr>
        <w:t>、</w:t>
      </w:r>
      <w:r>
        <w:rPr>
          <w:rFonts w:hint="eastAsia" w:ascii="方正仿宋_GBK" w:eastAsia="方正仿宋_GBK"/>
          <w:b/>
          <w:sz w:val="28"/>
          <w:lang w:val="en-US" w:eastAsia="zh-CN"/>
        </w:rPr>
        <w:t>市级食盐储备库所需资金</w:t>
      </w:r>
      <w:r>
        <w:rPr>
          <w:rFonts w:hint="eastAsia" w:ascii="方正仿宋_GBK" w:eastAsia="方正仿宋_GBK"/>
          <w:b/>
          <w:sz w:val="28"/>
        </w:rPr>
        <w:t>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3"/>
        <w:gridCol w:w="10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3"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955"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1、通过加强食盐储备管理，保证食盐常年储备量488吨，维护食盐市场稳定，保障食盐供应，应对发生重大自然灾害或者其他突发公共事件，有效发挥储备食盐在宏观调控中的作用。</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096"/>
        <w:gridCol w:w="2387"/>
        <w:gridCol w:w="3510"/>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20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0" w:hRule="atLeast"/>
          <w:jc w:val="center"/>
        </w:trPr>
        <w:tc>
          <w:tcPr>
            <w:tcW w:w="185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产出指标</w:t>
            </w:r>
          </w:p>
        </w:tc>
        <w:tc>
          <w:tcPr>
            <w:tcW w:w="20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数量指标</w:t>
            </w:r>
          </w:p>
        </w:tc>
        <w:tc>
          <w:tcPr>
            <w:tcW w:w="23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日常食盐储备数量</w:t>
            </w:r>
          </w:p>
        </w:tc>
        <w:tc>
          <w:tcPr>
            <w:tcW w:w="35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海晶盐业公司日常食盐储备量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488吨</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0" w:hRule="atLeast"/>
          <w:jc w:val="center"/>
        </w:trPr>
        <w:tc>
          <w:tcPr>
            <w:tcW w:w="1852"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20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质量指标</w:t>
            </w:r>
          </w:p>
        </w:tc>
        <w:tc>
          <w:tcPr>
            <w:tcW w:w="23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食盐品质合格率</w:t>
            </w:r>
          </w:p>
        </w:tc>
        <w:tc>
          <w:tcPr>
            <w:tcW w:w="35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达到国家规定标准的食盐合格率</w:t>
            </w:r>
          </w:p>
        </w:tc>
        <w:tc>
          <w:tcPr>
            <w:tcW w:w="1275" w:type="dxa"/>
            <w:tcBorders>
              <w:top w:val="single" w:color="000000" w:sz="6" w:space="0"/>
              <w:left w:val="single" w:color="000000" w:sz="6" w:space="0"/>
              <w:bottom w:val="single" w:color="000000" w:sz="6" w:space="0"/>
              <w:right w:val="single" w:color="000000" w:sz="6" w:space="0"/>
            </w:tcBorders>
            <w:vAlign w:val="bottom"/>
          </w:tcPr>
          <w:p>
            <w:pPr>
              <w:spacing w:line="300" w:lineRule="exact"/>
              <w:jc w:val="center"/>
              <w:rPr>
                <w:rFonts w:hint="eastAsia" w:ascii="方正书宋_GBK" w:eastAsia="方正书宋_GBK"/>
                <w:lang w:val="en-US" w:eastAsia="zh-CN"/>
              </w:rPr>
            </w:pPr>
          </w:p>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100%</w:t>
            </w:r>
          </w:p>
          <w:p>
            <w:pPr>
              <w:spacing w:line="300" w:lineRule="exact"/>
              <w:jc w:val="center"/>
              <w:rPr>
                <w:rFonts w:hint="default" w:ascii="方正书宋_GBK"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20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社会效益指标</w:t>
            </w:r>
          </w:p>
        </w:tc>
        <w:tc>
          <w:tcPr>
            <w:tcW w:w="23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储备食盐应急保障率</w:t>
            </w:r>
          </w:p>
        </w:tc>
        <w:tc>
          <w:tcPr>
            <w:tcW w:w="35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储备食盐实际应急供应量占计划应急供应时量的比率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0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23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群众满意度</w:t>
            </w:r>
          </w:p>
        </w:tc>
        <w:tc>
          <w:tcPr>
            <w:tcW w:w="35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全市人民使用放心盐满意和较满意的人占调查总人数的比率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计划标准</w:t>
            </w:r>
          </w:p>
        </w:tc>
      </w:tr>
    </w:tbl>
    <w:p>
      <w:pPr>
        <w:spacing w:line="300" w:lineRule="exact"/>
        <w:jc w:val="center"/>
        <w:rPr>
          <w:rFonts w:hint="eastAsia" w:ascii="方正书宋_GBK" w:eastAsia="方正书宋_GBK"/>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仿宋" w:hAnsi="仿宋" w:eastAsia="仿宋" w:cs="仿宋"/>
          <w:sz w:val="32"/>
          <w:szCs w:val="32"/>
          <w:lang w:val="en-US" w:eastAsia="zh-CN"/>
        </w:rPr>
      </w:pPr>
      <w:bookmarkStart w:id="2" w:name="_Toc471398468"/>
      <w:r>
        <w:rPr>
          <w:rFonts w:hint="eastAsia" w:ascii="仿宋" w:hAnsi="仿宋" w:eastAsia="仿宋" w:cs="仿宋"/>
          <w:sz w:val="32"/>
          <w:szCs w:val="32"/>
          <w:lang w:val="en-US" w:eastAsia="zh-CN"/>
        </w:rPr>
        <w:t>2020</w:t>
      </w:r>
      <w:r>
        <w:rPr>
          <w:rFonts w:hint="eastAsia" w:ascii="仿宋" w:hAnsi="仿宋" w:eastAsia="仿宋" w:cs="仿宋"/>
          <w:sz w:val="32"/>
          <w:szCs w:val="32"/>
        </w:rPr>
        <w:t>年，我</w:t>
      </w:r>
      <w:r>
        <w:rPr>
          <w:rFonts w:hint="eastAsia" w:ascii="仿宋" w:hAnsi="仿宋" w:eastAsia="仿宋" w:cs="仿宋"/>
          <w:sz w:val="32"/>
          <w:szCs w:val="32"/>
          <w:lang w:val="en-US" w:eastAsia="zh-CN"/>
        </w:rPr>
        <w:t>部门</w:t>
      </w:r>
      <w:r>
        <w:rPr>
          <w:rFonts w:hint="eastAsia" w:ascii="仿宋" w:hAnsi="仿宋" w:eastAsia="仿宋" w:cs="仿宋"/>
          <w:sz w:val="32"/>
          <w:szCs w:val="32"/>
        </w:rPr>
        <w:t>安排政府采购预算</w:t>
      </w:r>
      <w:r>
        <w:rPr>
          <w:rFonts w:hint="eastAsia" w:ascii="仿宋" w:hAnsi="仿宋" w:eastAsia="仿宋" w:cs="仿宋"/>
          <w:sz w:val="32"/>
          <w:szCs w:val="32"/>
          <w:lang w:val="en-US" w:eastAsia="zh-CN"/>
        </w:rPr>
        <w:t>65</w:t>
      </w:r>
      <w:r>
        <w:rPr>
          <w:rFonts w:hint="eastAsia" w:ascii="仿宋" w:hAnsi="仿宋" w:eastAsia="仿宋" w:cs="仿宋"/>
          <w:sz w:val="32"/>
          <w:szCs w:val="32"/>
        </w:rPr>
        <w:t>万元</w:t>
      </w:r>
      <w:r>
        <w:rPr>
          <w:rFonts w:hint="eastAsia" w:ascii="仿宋" w:hAnsi="仿宋" w:eastAsia="仿宋" w:cs="仿宋"/>
          <w:b/>
          <w:bCs/>
          <w:sz w:val="32"/>
          <w:szCs w:val="24"/>
        </w:rPr>
        <w:t>。</w:t>
      </w:r>
      <w:r>
        <w:rPr>
          <w:rFonts w:hint="eastAsia" w:ascii="仿宋" w:hAnsi="仿宋" w:eastAsia="仿宋" w:cs="仿宋"/>
          <w:sz w:val="32"/>
          <w:szCs w:val="32"/>
          <w:lang w:val="en-US" w:eastAsia="zh-CN"/>
        </w:rPr>
        <w:t>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7"/>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87"/>
        <w:gridCol w:w="1068"/>
        <w:gridCol w:w="873"/>
        <w:gridCol w:w="1397"/>
        <w:gridCol w:w="873"/>
        <w:gridCol w:w="873"/>
        <w:gridCol w:w="924"/>
        <w:gridCol w:w="898"/>
        <w:gridCol w:w="898"/>
        <w:gridCol w:w="898"/>
        <w:gridCol w:w="819"/>
        <w:gridCol w:w="881"/>
        <w:gridCol w:w="884"/>
        <w:gridCol w:w="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963"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hAnsi="Times New Roman" w:eastAsia="方正小标宋_GBK" w:cs="Times New Roman"/>
                <w:sz w:val="24"/>
                <w:szCs w:val="24"/>
                <w:lang w:val="en-US" w:eastAsia="zh-CN"/>
              </w:rPr>
            </w:pPr>
            <w:r>
              <w:rPr>
                <w:rFonts w:hint="eastAsia" w:ascii="方正小标宋_GBK" w:hAnsi="Times New Roman" w:eastAsia="方正小标宋_GBK" w:cs="Times New Roman"/>
                <w:sz w:val="24"/>
                <w:szCs w:val="24"/>
                <w:lang w:val="en-US" w:eastAsia="zh-CN"/>
              </w:rPr>
              <w:t>907霸州市供销社</w:t>
            </w:r>
          </w:p>
        </w:tc>
        <w:tc>
          <w:tcPr>
            <w:tcW w:w="2036"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20" w:type="pct"/>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308"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49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308"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308"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32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2036" w:type="pct"/>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377"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9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2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1546" w:type="pct"/>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17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77"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9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8"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2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317"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289"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311"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312"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17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3"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377"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08" w:type="pct"/>
            <w:shd w:val="clear" w:color="auto" w:fill="auto"/>
            <w:vAlign w:val="center"/>
          </w:tcPr>
          <w:p>
            <w:pPr>
              <w:spacing w:line="300" w:lineRule="exact"/>
              <w:jc w:val="left"/>
              <w:rPr>
                <w:rFonts w:ascii="方正书宋_GBK" w:hAnsi="Times New Roman" w:eastAsia="方正书宋_GBK" w:cs="Times New Roman"/>
                <w:b/>
                <w:szCs w:val="24"/>
              </w:rPr>
            </w:pPr>
          </w:p>
        </w:tc>
        <w:tc>
          <w:tcPr>
            <w:tcW w:w="493" w:type="pct"/>
            <w:shd w:val="clear" w:color="auto" w:fill="auto"/>
            <w:vAlign w:val="center"/>
          </w:tcPr>
          <w:p>
            <w:pPr>
              <w:spacing w:line="300" w:lineRule="exact"/>
              <w:jc w:val="left"/>
              <w:rPr>
                <w:rFonts w:ascii="方正书宋_GBK" w:hAnsi="Times New Roman" w:eastAsia="方正书宋_GBK" w:cs="Times New Roman"/>
                <w:b/>
                <w:szCs w:val="24"/>
              </w:rPr>
            </w:pPr>
          </w:p>
        </w:tc>
        <w:tc>
          <w:tcPr>
            <w:tcW w:w="308" w:type="pct"/>
            <w:shd w:val="clear" w:color="auto" w:fill="auto"/>
            <w:vAlign w:val="center"/>
          </w:tcPr>
          <w:p>
            <w:pPr>
              <w:spacing w:line="300" w:lineRule="exact"/>
              <w:jc w:val="left"/>
              <w:rPr>
                <w:rFonts w:ascii="方正书宋_GBK" w:hAnsi="Times New Roman" w:eastAsia="方正书宋_GBK" w:cs="Times New Roman"/>
                <w:b/>
                <w:szCs w:val="24"/>
              </w:rPr>
            </w:pPr>
          </w:p>
        </w:tc>
        <w:tc>
          <w:tcPr>
            <w:tcW w:w="308"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23"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7"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65</w:t>
            </w:r>
            <w:r>
              <w:rPr>
                <w:rFonts w:ascii="方正书宋_GBK" w:eastAsia="方正书宋_GBK"/>
              </w:rPr>
              <w:t>.00</w:t>
            </w:r>
          </w:p>
        </w:tc>
        <w:tc>
          <w:tcPr>
            <w:tcW w:w="317"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65</w:t>
            </w:r>
            <w:r>
              <w:rPr>
                <w:rFonts w:ascii="方正书宋_GBK" w:eastAsia="方正书宋_GBK"/>
              </w:rPr>
              <w:t>.00</w:t>
            </w: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3" w:type="pct"/>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3" w:type="pct"/>
            <w:shd w:val="clear" w:color="auto" w:fill="auto"/>
            <w:vAlign w:val="center"/>
          </w:tcPr>
          <w:p>
            <w:pPr>
              <w:spacing w:line="300" w:lineRule="exact"/>
              <w:ind w:left="630" w:hanging="630" w:hangingChars="300"/>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霸州市农村产权交易中心</w:t>
            </w:r>
            <w:r>
              <w:rPr>
                <w:rFonts w:hint="eastAsia" w:ascii="方正书宋_GBK" w:eastAsia="方正书宋_GBK"/>
                <w:lang w:val="en-US" w:eastAsia="zh-CN"/>
              </w:rPr>
              <w:t>经</w:t>
            </w:r>
            <w:r>
              <w:rPr>
                <w:rFonts w:hint="eastAsia" w:ascii="方正书宋_GBK" w:eastAsia="方正书宋_GBK"/>
              </w:rPr>
              <w:t>费</w:t>
            </w:r>
          </w:p>
        </w:tc>
        <w:tc>
          <w:tcPr>
            <w:tcW w:w="377"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65</w:t>
            </w:r>
            <w:r>
              <w:rPr>
                <w:rFonts w:ascii="方正书宋_GBK" w:eastAsia="方正书宋_GBK"/>
              </w:rPr>
              <w:t>.00</w:t>
            </w:r>
          </w:p>
        </w:tc>
        <w:tc>
          <w:tcPr>
            <w:tcW w:w="308" w:type="pct"/>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其他运营</w:t>
            </w:r>
            <w:r>
              <w:rPr>
                <w:rFonts w:hint="eastAsia" w:ascii="方正书宋_GBK" w:eastAsia="方正书宋_GBK"/>
              </w:rPr>
              <w:t>服务</w:t>
            </w:r>
          </w:p>
        </w:tc>
        <w:tc>
          <w:tcPr>
            <w:tcW w:w="493" w:type="pct"/>
            <w:shd w:val="clear" w:color="auto" w:fill="auto"/>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C020799</w:t>
            </w:r>
          </w:p>
        </w:tc>
        <w:tc>
          <w:tcPr>
            <w:tcW w:w="308" w:type="pct"/>
            <w:shd w:val="clear" w:color="auto" w:fill="auto"/>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p>
        </w:tc>
        <w:tc>
          <w:tcPr>
            <w:tcW w:w="308"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323"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65</w:t>
            </w:r>
            <w:r>
              <w:rPr>
                <w:rFonts w:ascii="方正书宋_GBK" w:eastAsia="方正书宋_GBK"/>
              </w:rPr>
              <w:t>.00</w:t>
            </w:r>
          </w:p>
        </w:tc>
        <w:tc>
          <w:tcPr>
            <w:tcW w:w="317"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65</w:t>
            </w:r>
            <w:r>
              <w:rPr>
                <w:rFonts w:ascii="方正书宋_GBK" w:eastAsia="方正书宋_GBK"/>
              </w:rPr>
              <w:t>.00</w:t>
            </w:r>
          </w:p>
        </w:tc>
        <w:tc>
          <w:tcPr>
            <w:tcW w:w="317"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65</w:t>
            </w:r>
            <w:r>
              <w:rPr>
                <w:rFonts w:ascii="方正书宋_GBK" w:eastAsia="方正书宋_GBK"/>
              </w:rPr>
              <w:t>.00</w:t>
            </w:r>
          </w:p>
        </w:tc>
        <w:tc>
          <w:tcPr>
            <w:tcW w:w="317" w:type="pct"/>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65</w:t>
            </w:r>
            <w:r>
              <w:rPr>
                <w:rFonts w:ascii="方正书宋_GBK" w:eastAsia="方正书宋_GBK"/>
              </w:rPr>
              <w:t>.00</w:t>
            </w: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3" w:type="pct"/>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供销合作社</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万元（详见下表）。</w:t>
      </w:r>
      <w:r>
        <w:rPr>
          <w:rFonts w:hint="eastAsia" w:ascii="仿宋_GB2312" w:hAnsi="黑体" w:eastAsia="仿宋_GB2312" w:cs="Times New Roman"/>
          <w:sz w:val="32"/>
          <w:szCs w:val="32"/>
          <w:lang w:val="en-US" w:eastAsia="zh-CN"/>
        </w:rPr>
        <w:t>本年度我</w:t>
      </w:r>
      <w:r>
        <w:rPr>
          <w:rFonts w:hint="eastAsia" w:ascii="仿宋" w:hAnsi="仿宋" w:eastAsia="仿宋" w:cs="仿宋"/>
          <w:sz w:val="32"/>
          <w:szCs w:val="32"/>
        </w:rPr>
        <w:t>部门无新增固定资产计划。</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供销社</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907霸州市供销社</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截止时间：201</w:t>
            </w:r>
            <w:r>
              <w:rPr>
                <w:rFonts w:ascii="宋体" w:hAnsi="宋体" w:eastAsia="宋体" w:cs="宋体"/>
                <w:kern w:val="0"/>
                <w:sz w:val="22"/>
              </w:rPr>
              <w:t>9</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w:t>
      </w:r>
      <w:r>
        <w:rPr>
          <w:rFonts w:hint="eastAsia" w:ascii="仿宋_GB2312" w:hAnsi="黑体" w:eastAsia="仿宋_GB2312" w:cs="Times New Roman"/>
          <w:sz w:val="32"/>
          <w:szCs w:val="32"/>
          <w:lang w:val="en-US" w:eastAsia="zh-CN"/>
        </w:rPr>
        <w:t>项</w:t>
      </w:r>
      <w:r>
        <w:rPr>
          <w:rFonts w:hint="eastAsia" w:ascii="仿宋_GB2312" w:hAnsi="黑体" w:eastAsia="仿宋_GB2312" w:cs="Times New Roman"/>
          <w:sz w:val="32"/>
          <w:szCs w:val="32"/>
        </w:rPr>
        <w:t>。</w:t>
      </w:r>
      <w:bookmarkStart w:id="3" w:name="_GoBack"/>
      <w:bookmarkEnd w:id="3"/>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66AEF"/>
    <w:multiLevelType w:val="singleLevel"/>
    <w:tmpl w:val="97B66AEF"/>
    <w:lvl w:ilvl="0" w:tentative="0">
      <w:start w:val="2"/>
      <w:numFmt w:val="chineseCounting"/>
      <w:suff w:val="space"/>
      <w:lvlText w:val="第%1部分"/>
      <w:lvlJc w:val="left"/>
      <w:rPr>
        <w:rFonts w:hint="eastAsia"/>
      </w:rPr>
    </w:lvl>
  </w:abstractNum>
  <w:abstractNum w:abstractNumId="1">
    <w:nsid w:val="D4D8D5BA"/>
    <w:multiLevelType w:val="singleLevel"/>
    <w:tmpl w:val="D4D8D5BA"/>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44825"/>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4DB23CB"/>
    <w:rsid w:val="11BF2068"/>
    <w:rsid w:val="25311F94"/>
    <w:rsid w:val="388561C0"/>
    <w:rsid w:val="4AD472BE"/>
    <w:rsid w:val="7C975E2D"/>
    <w:rsid w:val="7E3C5E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uiPriority w:val="0"/>
    <w:pPr>
      <w:ind w:left="420" w:leftChars="200"/>
    </w:pPr>
    <w:rPr>
      <w:rFonts w:ascii="Times New Roman" w:hAnsi="Times New Roman" w:eastAsia="宋体" w:cs="Times New Roman"/>
      <w:szCs w:val="24"/>
    </w:rPr>
  </w:style>
  <w:style w:type="character" w:customStyle="1" w:styleId="9">
    <w:name w:val="页眉 字符"/>
    <w:basedOn w:val="8"/>
    <w:link w:val="4"/>
    <w:uiPriority w:val="0"/>
    <w:rPr>
      <w:rFonts w:ascii="Times New Roman" w:hAnsi="Times New Roman" w:eastAsia="宋体" w:cs="Times New Roman"/>
      <w:sz w:val="18"/>
      <w:szCs w:val="18"/>
    </w:rPr>
  </w:style>
  <w:style w:type="character" w:customStyle="1" w:styleId="10">
    <w:name w:val="页脚 字符"/>
    <w:basedOn w:val="8"/>
    <w:link w:val="3"/>
    <w:uiPriority w:val="99"/>
    <w:rPr>
      <w:rFonts w:ascii="Times New Roman" w:hAnsi="Times New Roman" w:eastAsia="宋体" w:cs="Times New Roman"/>
      <w:sz w:val="18"/>
      <w:szCs w:val="18"/>
    </w:rPr>
  </w:style>
  <w:style w:type="character" w:customStyle="1" w:styleId="11">
    <w:name w:val="批注框文本 字符"/>
    <w:basedOn w:val="8"/>
    <w:link w:val="2"/>
    <w:semiHidden/>
    <w:uiPriority w:val="99"/>
    <w:rPr>
      <w:sz w:val="18"/>
      <w:szCs w:val="18"/>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5</TotalTime>
  <ScaleCrop>false</ScaleCrop>
  <LinksUpToDate>false</LinksUpToDate>
  <CharactersWithSpaces>3329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我是男的!!!</cp:lastModifiedBy>
  <cp:lastPrinted>2018-02-28T01:51:00Z</cp:lastPrinted>
  <dcterms:modified xsi:type="dcterms:W3CDTF">2020-02-01T02:54:54Z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