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bookmarkStart w:id="0" w:name="RANGE!A1:AH10"/>
      <w:bookmarkEnd w:id="0"/>
      <w:r>
        <w:rPr>
          <w:rFonts w:hint="eastAsia" w:ascii="方正小标宋简体" w:hAnsi="Times New Roman" w:eastAsia="方正小标宋简体" w:cs="Times New Roman"/>
          <w:sz w:val="44"/>
          <w:szCs w:val="44"/>
        </w:rPr>
        <w:t>霸州市</w:t>
      </w:r>
      <w:r>
        <w:rPr>
          <w:rFonts w:hint="eastAsia" w:ascii="方正小标宋简体" w:hAnsi="Times New Roman" w:eastAsia="方正小标宋简体" w:cs="Times New Roman"/>
          <w:sz w:val="44"/>
          <w:szCs w:val="44"/>
          <w:lang w:val="en-US" w:eastAsia="zh-CN"/>
        </w:rPr>
        <w:t>供销合作社联合社</w:t>
      </w:r>
      <w:r>
        <w:rPr>
          <w:rFonts w:hint="eastAsia" w:ascii="方正小标宋简体" w:hAnsi="Times New Roman" w:eastAsia="方正小标宋简体" w:cs="Times New Roman"/>
          <w:sz w:val="44"/>
          <w:szCs w:val="44"/>
        </w:rPr>
        <w:t>20</w:t>
      </w:r>
      <w:r>
        <w:rPr>
          <w:rFonts w:ascii="方正小标宋简体" w:hAnsi="Times New Roman" w:eastAsia="方正小标宋简体" w:cs="Times New Roman"/>
          <w:sz w:val="44"/>
          <w:szCs w:val="44"/>
        </w:rPr>
        <w:t>20</w:t>
      </w:r>
      <w:r>
        <w:rPr>
          <w:rFonts w:hint="eastAsia" w:ascii="方正小标宋简体" w:hAnsi="Times New Roman" w:eastAsia="方正小标宋简体" w:cs="Times New Roman"/>
          <w:sz w:val="44"/>
          <w:szCs w:val="44"/>
        </w:rPr>
        <w:t>年部门预算信息公开</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按照《预算法》、《地方预决算公开操作规程》和《河北省省级预算公开办法》规定，现将</w:t>
      </w:r>
      <w:r>
        <w:rPr>
          <w:rFonts w:hint="eastAsia" w:ascii="仿宋_GB2312" w:hAnsi="Times New Roman" w:eastAsia="仿宋_GB2312" w:cs="Times New Roman"/>
          <w:sz w:val="32"/>
          <w:szCs w:val="32"/>
          <w:lang w:val="en-US" w:eastAsia="zh-CN"/>
        </w:rPr>
        <w:t>霸州市供销合作社联合社</w:t>
      </w: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20</w:t>
      </w:r>
      <w:r>
        <w:rPr>
          <w:rFonts w:hint="eastAsia" w:ascii="仿宋_GB2312" w:hAnsi="Times New Roman" w:eastAsia="仿宋_GB2312" w:cs="Times New Roman"/>
          <w:sz w:val="32"/>
          <w:szCs w:val="32"/>
        </w:rPr>
        <w:t>年部门预算公开如下：</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部门职责：</w:t>
      </w:r>
    </w:p>
    <w:p>
      <w:pPr>
        <w:spacing w:line="580" w:lineRule="atLeast"/>
        <w:ind w:firstLine="640" w:firstLineChars="200"/>
        <w:rPr>
          <w:rFonts w:ascii="仿宋" w:hAnsi="仿宋" w:eastAsia="仿宋" w:cs="仿宋"/>
          <w:sz w:val="32"/>
          <w:szCs w:val="32"/>
        </w:rPr>
      </w:pPr>
      <w:r>
        <w:rPr>
          <w:rFonts w:hint="eastAsia" w:ascii="仿宋" w:hAnsi="仿宋" w:eastAsia="仿宋" w:cs="仿宋"/>
          <w:sz w:val="32"/>
          <w:szCs w:val="32"/>
        </w:rPr>
        <w:t>1、供销流通管理——把供销合作社系统打造成为与农民联结更紧密、为农服务功能更完备、市场化运行更高效的合作经济组织体系，成为服务农民生产生活的生力军和综合平台，成为党和政府密切联系农民群众的桥梁纽带，切实在农业现代化建设中更好地发挥作用。</w:t>
      </w:r>
    </w:p>
    <w:p>
      <w:pPr>
        <w:spacing w:line="580" w:lineRule="atLeast"/>
        <w:ind w:firstLine="640" w:firstLineChars="200"/>
        <w:rPr>
          <w:rFonts w:ascii="仿宋" w:hAnsi="仿宋" w:eastAsia="仿宋" w:cs="仿宋"/>
          <w:sz w:val="32"/>
          <w:szCs w:val="32"/>
        </w:rPr>
      </w:pPr>
      <w:r>
        <w:rPr>
          <w:rFonts w:hint="eastAsia" w:ascii="仿宋" w:hAnsi="仿宋" w:eastAsia="仿宋" w:cs="仿宋"/>
          <w:sz w:val="32"/>
          <w:szCs w:val="32"/>
        </w:rPr>
        <w:t>2、服务三农事务管理——强力推进和形成服务现代农业、服务农村生产生活、服务农业新型经营主体三大板块的服务格局。</w:t>
      </w:r>
    </w:p>
    <w:p>
      <w:pPr>
        <w:spacing w:line="580" w:lineRule="atLeas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、物资储备管理——根据市防汛抗旱指挥部要求，负责防汛抗旱、抢险救灾有关物资的储备、管理、供应和调拨的相关工作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储备488吨合格食盐，保障全市2个月食盐供应。</w:t>
      </w:r>
    </w:p>
    <w:p>
      <w:pPr>
        <w:spacing w:line="580" w:lineRule="atLeas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、供销合作政务管理——完成市供销系统综合业务指标。</w:t>
      </w:r>
    </w:p>
    <w:p>
      <w:pPr>
        <w:ind w:firstLine="640" w:firstLineChars="200"/>
        <w:rPr>
          <w:rFonts w:ascii="仿宋_GB2312" w:hAnsi="Times New Roman" w:eastAsia="仿宋_GB2312" w:cs="Times New Roman"/>
          <w:color w:val="FF0000"/>
          <w:sz w:val="32"/>
          <w:szCs w:val="32"/>
        </w:rPr>
      </w:pP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7"/>
        <w:tblW w:w="110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7"/>
        <w:gridCol w:w="1698"/>
        <w:gridCol w:w="1653"/>
        <w:gridCol w:w="43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287"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698"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653"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4398"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287"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698"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653"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4398"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87" w:type="dxa"/>
            <w:shd w:val="clear" w:color="auto" w:fill="auto"/>
            <w:vAlign w:val="center"/>
          </w:tcPr>
          <w:p>
            <w:pPr>
              <w:spacing w:line="300" w:lineRule="exact"/>
              <w:jc w:val="center"/>
              <w:rPr>
                <w:rFonts w:ascii="Times New Roman" w:hAnsi="Times New Roman" w:eastAsia="方正书宋_GBK" w:cstheme="minorBidi"/>
                <w:kern w:val="2"/>
                <w:sz w:val="21"/>
                <w:szCs w:val="24"/>
                <w:lang w:val="en-US" w:eastAsia="zh-CN" w:bidi="ar-SA"/>
              </w:rPr>
            </w:pPr>
            <w:r>
              <w:rPr>
                <w:rFonts w:hint="eastAsia" w:ascii="方正书宋_GBK" w:eastAsia="方正书宋_GBK"/>
              </w:rPr>
              <w:t>霸州市供销合作社联合社</w:t>
            </w:r>
          </w:p>
        </w:tc>
        <w:tc>
          <w:tcPr>
            <w:tcW w:w="1698" w:type="dxa"/>
            <w:shd w:val="clear" w:color="auto" w:fill="auto"/>
            <w:vAlign w:val="center"/>
          </w:tcPr>
          <w:p>
            <w:pPr>
              <w:spacing w:line="300" w:lineRule="exact"/>
              <w:jc w:val="center"/>
              <w:rPr>
                <w:rFonts w:hint="default" w:ascii="Times New Roman" w:hAnsi="Times New Roman" w:eastAsia="方正书宋_GBK" w:cstheme="minorBidi"/>
                <w:kern w:val="2"/>
                <w:sz w:val="21"/>
                <w:szCs w:val="24"/>
                <w:highlight w:val="cyan"/>
                <w:lang w:val="en-US" w:eastAsia="zh-CN" w:bidi="ar-SA"/>
              </w:rPr>
            </w:pPr>
            <w:r>
              <w:rPr>
                <w:rFonts w:hint="eastAsia" w:ascii="Times New Roman" w:hAnsi="Times New Roman" w:eastAsia="方正书宋_GBK" w:cstheme="minorBidi"/>
                <w:kern w:val="2"/>
                <w:sz w:val="21"/>
                <w:szCs w:val="24"/>
                <w:highlight w:val="none"/>
                <w:lang w:val="en-US" w:eastAsia="zh-CN" w:bidi="ar-SA"/>
              </w:rPr>
              <w:t>其他</w:t>
            </w:r>
          </w:p>
        </w:tc>
        <w:tc>
          <w:tcPr>
            <w:tcW w:w="1653" w:type="dxa"/>
            <w:shd w:val="clear" w:color="auto" w:fill="auto"/>
            <w:vAlign w:val="center"/>
          </w:tcPr>
          <w:p>
            <w:pPr>
              <w:spacing w:line="300" w:lineRule="exact"/>
              <w:jc w:val="center"/>
              <w:rPr>
                <w:rFonts w:ascii="Times New Roman" w:hAnsi="Times New Roman" w:eastAsia="方正书宋_GBK" w:cstheme="minorBidi"/>
                <w:kern w:val="2"/>
                <w:sz w:val="21"/>
                <w:szCs w:val="24"/>
                <w:highlight w:val="cyan"/>
                <w:lang w:val="en-US" w:eastAsia="zh-CN" w:bidi="ar-SA"/>
              </w:rPr>
            </w:pPr>
            <w:r>
              <w:rPr>
                <w:rFonts w:hint="eastAsia" w:ascii="Times New Roman" w:hAnsi="Times New Roman" w:eastAsia="方正书宋_GBK"/>
                <w:szCs w:val="24"/>
              </w:rPr>
              <w:t>正科级</w:t>
            </w:r>
          </w:p>
        </w:tc>
        <w:tc>
          <w:tcPr>
            <w:tcW w:w="4398" w:type="dxa"/>
            <w:shd w:val="clear" w:color="auto" w:fill="auto"/>
            <w:vAlign w:val="center"/>
          </w:tcPr>
          <w:p>
            <w:pPr>
              <w:spacing w:line="300" w:lineRule="exact"/>
              <w:jc w:val="center"/>
              <w:rPr>
                <w:rFonts w:hint="eastAsia" w:ascii="Times New Roman" w:hAnsi="Times New Roman" w:eastAsia="方正书宋_GBK" w:cstheme="minorBidi"/>
                <w:kern w:val="2"/>
                <w:sz w:val="21"/>
                <w:szCs w:val="24"/>
                <w:lang w:val="en-US" w:eastAsia="zh-CN" w:bidi="ar-SA"/>
              </w:rPr>
            </w:pPr>
            <w:r>
              <w:rPr>
                <w:rFonts w:hint="eastAsia" w:ascii="方正书宋_GBK" w:eastAsia="方正书宋_GBK"/>
              </w:rPr>
              <w:t>财政性资金定额或定</w:t>
            </w:r>
            <w:r>
              <w:rPr>
                <w:rFonts w:hint="eastAsia" w:ascii="方正书宋_GBK" w:eastAsia="方正书宋_GBK"/>
                <w:lang w:val="en-US" w:eastAsia="zh-CN"/>
              </w:rPr>
              <w:t>向</w:t>
            </w:r>
            <w:r>
              <w:rPr>
                <w:rFonts w:hint="eastAsia" w:ascii="方正书宋_GBK" w:eastAsia="方正书宋_GBK"/>
              </w:rPr>
              <w:t>补助</w:t>
            </w:r>
            <w:r>
              <w:rPr>
                <w:rFonts w:hint="eastAsia" w:ascii="方正书宋_GBK" w:eastAsia="方正书宋_GBK"/>
                <w:lang w:eastAsia="zh-CN"/>
              </w:rPr>
              <w:t>（</w:t>
            </w:r>
            <w:r>
              <w:rPr>
                <w:rFonts w:hint="eastAsia" w:ascii="方正书宋_GBK" w:eastAsia="方正书宋_GBK"/>
                <w:lang w:val="en-US" w:eastAsia="zh-CN"/>
              </w:rPr>
              <w:t>差额事业</w:t>
            </w:r>
            <w:r>
              <w:rPr>
                <w:rFonts w:hint="eastAsia" w:ascii="方正书宋_GBK" w:eastAsia="方正书宋_GBK"/>
                <w:lang w:eastAsia="zh-CN"/>
              </w:rPr>
              <w:t>）</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按照预算管理有关规定，目前我市部门预算的编制实行综合预算制度，即全部收入和支出都反映在预算中。</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1、收入说明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反映本部门当年全部收入。20</w:t>
      </w:r>
      <w:r>
        <w:rPr>
          <w:rFonts w:ascii="仿宋_GB2312" w:hAnsi="Times New Roman" w:eastAsia="仿宋_GB2312" w:cs="Times New Roman"/>
          <w:sz w:val="32"/>
          <w:szCs w:val="32"/>
        </w:rPr>
        <w:t>20</w:t>
      </w:r>
      <w:r>
        <w:rPr>
          <w:rFonts w:hint="eastAsia" w:ascii="仿宋_GB2312" w:hAnsi="Times New Roman" w:eastAsia="仿宋_GB2312" w:cs="Times New Roman"/>
          <w:sz w:val="32"/>
          <w:szCs w:val="32"/>
        </w:rPr>
        <w:t>年预算收入</w:t>
      </w:r>
      <w:r>
        <w:rPr>
          <w:rFonts w:hint="eastAsia" w:ascii="仿宋_GB2312" w:hAnsi="Times New Roman" w:eastAsia="仿宋_GB2312" w:cs="Times New Roman"/>
          <w:sz w:val="32"/>
          <w:szCs w:val="32"/>
          <w:lang w:val="en-US" w:eastAsia="zh-CN"/>
        </w:rPr>
        <w:t>550.24</w:t>
      </w:r>
      <w:r>
        <w:rPr>
          <w:rFonts w:hint="eastAsia" w:ascii="仿宋_GB2312" w:hAnsi="Times New Roman" w:eastAsia="仿宋_GB2312" w:cs="Times New Roman"/>
          <w:sz w:val="32"/>
          <w:szCs w:val="32"/>
        </w:rPr>
        <w:t>万元，其中：一般公共预算收入</w:t>
      </w:r>
      <w:r>
        <w:rPr>
          <w:rFonts w:hint="eastAsia" w:ascii="仿宋_GB2312" w:hAnsi="Times New Roman" w:eastAsia="仿宋_GB2312" w:cs="Times New Roman"/>
          <w:sz w:val="32"/>
          <w:szCs w:val="32"/>
          <w:lang w:val="en-US" w:eastAsia="zh-CN"/>
        </w:rPr>
        <w:t>550.24</w:t>
      </w:r>
      <w:r>
        <w:rPr>
          <w:rFonts w:hint="eastAsia" w:ascii="仿宋_GB2312" w:hAnsi="Times New Roman" w:eastAsia="仿宋_GB2312" w:cs="Times New Roman"/>
          <w:sz w:val="32"/>
          <w:szCs w:val="32"/>
        </w:rPr>
        <w:t>万元，政府性基金预算收入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，国有资本经营</w:t>
      </w:r>
      <w:r>
        <w:rPr>
          <w:rFonts w:ascii="仿宋_GB2312" w:hAnsi="Times New Roman" w:eastAsia="仿宋_GB2312" w:cs="Times New Roman"/>
          <w:sz w:val="32"/>
          <w:szCs w:val="32"/>
        </w:rPr>
        <w:t>预算收入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上级补助收入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事业收入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万元，经营</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万元，附属单位上缴</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其他收入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2、支出说明</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收支预算总表支出栏、基本支出表、项目支出表按经济分类和支出功能分类科目编制，反映霸州市</w:t>
      </w:r>
      <w:r>
        <w:rPr>
          <w:rFonts w:hint="eastAsia" w:ascii="仿宋_GB2312" w:hAnsi="Times New Roman" w:eastAsia="仿宋_GB2312" w:cs="Times New Roman"/>
          <w:sz w:val="32"/>
          <w:szCs w:val="32"/>
          <w:lang w:val="en-US" w:eastAsia="zh-CN"/>
        </w:rPr>
        <w:t>供销合作社联合社</w:t>
      </w: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20</w:t>
      </w:r>
      <w:r>
        <w:rPr>
          <w:rFonts w:hint="eastAsia" w:ascii="仿宋_GB2312" w:hAnsi="Times New Roman" w:eastAsia="仿宋_GB2312" w:cs="Times New Roman"/>
          <w:sz w:val="32"/>
          <w:szCs w:val="32"/>
        </w:rPr>
        <w:t>年度部门预算中支出预算的总体情况。20</w:t>
      </w:r>
      <w:r>
        <w:rPr>
          <w:rFonts w:ascii="仿宋_GB2312" w:hAnsi="Times New Roman" w:eastAsia="仿宋_GB2312" w:cs="Times New Roman"/>
          <w:sz w:val="32"/>
          <w:szCs w:val="32"/>
        </w:rPr>
        <w:t>20</w:t>
      </w:r>
      <w:r>
        <w:rPr>
          <w:rFonts w:hint="eastAsia" w:ascii="仿宋_GB2312" w:hAnsi="Times New Roman" w:eastAsia="仿宋_GB2312" w:cs="Times New Roman"/>
          <w:sz w:val="32"/>
          <w:szCs w:val="32"/>
        </w:rPr>
        <w:t>年本部门支出预算</w:t>
      </w:r>
      <w:r>
        <w:rPr>
          <w:rFonts w:hint="eastAsia" w:ascii="仿宋_GB2312" w:hAnsi="Times New Roman" w:eastAsia="仿宋_GB2312" w:cs="Times New Roman"/>
          <w:sz w:val="32"/>
          <w:szCs w:val="32"/>
          <w:lang w:val="en-US" w:eastAsia="zh-CN"/>
        </w:rPr>
        <w:t>550.24</w:t>
      </w:r>
      <w:r>
        <w:rPr>
          <w:rFonts w:hint="eastAsia" w:ascii="仿宋_GB2312" w:hAnsi="Times New Roman" w:eastAsia="仿宋_GB2312" w:cs="Times New Roman"/>
          <w:sz w:val="32"/>
          <w:szCs w:val="32"/>
        </w:rPr>
        <w:t>万元，其中：基本支出</w:t>
      </w:r>
      <w:r>
        <w:rPr>
          <w:rFonts w:hint="eastAsia" w:ascii="仿宋_GB2312" w:hAnsi="Times New Roman" w:eastAsia="仿宋_GB2312" w:cs="Times New Roman"/>
          <w:sz w:val="32"/>
          <w:szCs w:val="32"/>
          <w:lang w:val="en-US" w:eastAsia="zh-CN"/>
        </w:rPr>
        <w:t>475.24</w:t>
      </w:r>
      <w:r>
        <w:rPr>
          <w:rFonts w:hint="eastAsia" w:ascii="仿宋_GB2312" w:hAnsi="Times New Roman" w:eastAsia="仿宋_GB2312" w:cs="Times New Roman"/>
          <w:sz w:val="32"/>
          <w:szCs w:val="32"/>
        </w:rPr>
        <w:t>万元，包括：人员经费</w:t>
      </w:r>
      <w:r>
        <w:rPr>
          <w:rFonts w:hint="eastAsia" w:ascii="仿宋_GB2312" w:hAnsi="Times New Roman" w:eastAsia="仿宋_GB2312" w:cs="Times New Roman"/>
          <w:sz w:val="32"/>
          <w:szCs w:val="32"/>
          <w:lang w:val="en-US" w:eastAsia="zh-CN"/>
        </w:rPr>
        <w:t>475.24</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和日常公用经费</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；项目支出</w:t>
      </w:r>
      <w:r>
        <w:rPr>
          <w:rFonts w:hint="eastAsia" w:ascii="仿宋_GB2312" w:hAnsi="Times New Roman" w:eastAsia="仿宋_GB2312" w:cs="Times New Roman"/>
          <w:sz w:val="32"/>
          <w:szCs w:val="32"/>
          <w:lang w:val="en-US" w:eastAsia="zh-CN"/>
        </w:rPr>
        <w:t>75.00</w:t>
      </w:r>
      <w:r>
        <w:rPr>
          <w:rFonts w:hint="eastAsia" w:ascii="仿宋_GB2312" w:hAnsi="Times New Roman" w:eastAsia="仿宋_GB2312" w:cs="Times New Roman"/>
          <w:sz w:val="32"/>
          <w:szCs w:val="32"/>
        </w:rPr>
        <w:t>万元，全部为本级</w:t>
      </w:r>
      <w:r>
        <w:rPr>
          <w:rFonts w:ascii="仿宋_GB2312" w:hAnsi="Times New Roman" w:eastAsia="仿宋_GB2312" w:cs="Times New Roman"/>
          <w:sz w:val="32"/>
          <w:szCs w:val="32"/>
        </w:rPr>
        <w:t>支出，</w:t>
      </w:r>
      <w:r>
        <w:rPr>
          <w:rFonts w:hint="eastAsia" w:ascii="仿宋_GB2312" w:hAnsi="Times New Roman" w:eastAsia="仿宋_GB2312" w:cs="Times New Roman"/>
          <w:sz w:val="32"/>
          <w:szCs w:val="32"/>
        </w:rPr>
        <w:t>主要为</w:t>
      </w:r>
      <w:r>
        <w:rPr>
          <w:rFonts w:hint="eastAsia" w:ascii="仿宋" w:hAnsi="仿宋" w:eastAsia="仿宋" w:cs="仿宋"/>
          <w:sz w:val="32"/>
          <w:szCs w:val="32"/>
          <w:lang w:val="en-US" w:eastAsia="zh-CN"/>
        </w:rPr>
        <w:t>霸州市农村产权交易中心经费和市级食盐储备库所需资金</w:t>
      </w:r>
      <w:r>
        <w:rPr>
          <w:rFonts w:hint="eastAsia" w:ascii="仿宋_GB2312" w:hAnsi="Times New Roman" w:eastAsia="仿宋_GB2312" w:cs="Times New Roman"/>
          <w:sz w:val="32"/>
          <w:szCs w:val="32"/>
        </w:rPr>
        <w:t>；上缴上级支出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r>
        <w:rPr>
          <w:rFonts w:ascii="仿宋_GB2312" w:hAnsi="Times New Roman" w:eastAsia="仿宋_GB2312" w:cs="Times New Roman"/>
          <w:sz w:val="32"/>
          <w:szCs w:val="32"/>
        </w:rPr>
        <w:t>经营支出</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对附属单位补助支出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3、比上年增减情况</w:t>
      </w:r>
    </w:p>
    <w:p>
      <w:pPr>
        <w:ind w:firstLine="640"/>
        <w:rPr>
          <w:rFonts w:ascii="仿宋_GB2312" w:hAnsi="黑体"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20</w:t>
      </w:r>
      <w:r>
        <w:rPr>
          <w:rFonts w:ascii="仿宋_GB2312" w:hAnsi="Times New Roman" w:eastAsia="仿宋_GB2312" w:cs="Times New Roman"/>
          <w:color w:val="000000" w:themeColor="text1"/>
          <w:sz w:val="32"/>
          <w:szCs w:val="32"/>
        </w:rPr>
        <w:t>20</w:t>
      </w:r>
      <w:r>
        <w:rPr>
          <w:rFonts w:hint="eastAsia" w:ascii="仿宋_GB2312" w:hAnsi="Times New Roman" w:eastAsia="仿宋_GB2312" w:cs="Times New Roman"/>
          <w:color w:val="000000" w:themeColor="text1"/>
          <w:sz w:val="32"/>
          <w:szCs w:val="32"/>
        </w:rPr>
        <w:t>年预算收支安排</w:t>
      </w:r>
      <w:r>
        <w:rPr>
          <w:rFonts w:hint="eastAsia" w:ascii="仿宋_GB2312" w:hAnsi="Times New Roman" w:eastAsia="仿宋_GB2312" w:cs="Times New Roman"/>
          <w:color w:val="000000" w:themeColor="text1"/>
          <w:sz w:val="32"/>
          <w:szCs w:val="32"/>
          <w:lang w:val="en-US" w:eastAsia="zh-CN"/>
        </w:rPr>
        <w:t>550.24</w:t>
      </w:r>
      <w:r>
        <w:rPr>
          <w:rFonts w:hint="eastAsia" w:ascii="仿宋_GB2312" w:hAnsi="Times New Roman" w:eastAsia="仿宋_GB2312" w:cs="Times New Roman"/>
          <w:color w:val="000000" w:themeColor="text1"/>
          <w:sz w:val="32"/>
          <w:szCs w:val="32"/>
        </w:rPr>
        <w:t>万元，较20</w:t>
      </w:r>
      <w:r>
        <w:rPr>
          <w:rFonts w:ascii="仿宋_GB2312" w:hAnsi="Times New Roman" w:eastAsia="仿宋_GB2312" w:cs="Times New Roman"/>
          <w:color w:val="000000" w:themeColor="text1"/>
          <w:sz w:val="32"/>
          <w:szCs w:val="32"/>
        </w:rPr>
        <w:t>19</w:t>
      </w:r>
      <w:r>
        <w:rPr>
          <w:rFonts w:hint="eastAsia" w:ascii="仿宋_GB2312" w:hAnsi="Times New Roman" w:eastAsia="仿宋_GB2312" w:cs="Times New Roman"/>
          <w:color w:val="000000" w:themeColor="text1"/>
          <w:sz w:val="32"/>
          <w:szCs w:val="32"/>
        </w:rPr>
        <w:t>年预算</w:t>
      </w:r>
      <w:r>
        <w:rPr>
          <w:rFonts w:hint="eastAsia" w:ascii="仿宋_GB2312" w:hAnsi="Times New Roman" w:eastAsia="仿宋_GB2312" w:cs="Times New Roman"/>
          <w:color w:val="000000" w:themeColor="text1"/>
          <w:sz w:val="32"/>
          <w:szCs w:val="32"/>
          <w:lang w:val="en-US" w:eastAsia="zh-CN"/>
        </w:rPr>
        <w:t>增加175.24</w:t>
      </w:r>
      <w:r>
        <w:rPr>
          <w:rFonts w:hint="eastAsia" w:ascii="仿宋_GB2312" w:hAnsi="Times New Roman" w:eastAsia="仿宋_GB2312" w:cs="Times New Roman"/>
          <w:color w:val="000000" w:themeColor="text1"/>
          <w:sz w:val="32"/>
          <w:szCs w:val="32"/>
        </w:rPr>
        <w:t>万元，其中：基本支出</w:t>
      </w:r>
      <w:r>
        <w:rPr>
          <w:rFonts w:hint="eastAsia" w:ascii="仿宋_GB2312" w:hAnsi="Times New Roman" w:eastAsia="仿宋_GB2312" w:cs="Times New Roman"/>
          <w:color w:val="000000" w:themeColor="text1"/>
          <w:sz w:val="32"/>
          <w:szCs w:val="32"/>
          <w:lang w:val="en-US" w:eastAsia="zh-CN"/>
        </w:rPr>
        <w:t>增加230.24</w:t>
      </w:r>
      <w:r>
        <w:rPr>
          <w:rFonts w:hint="eastAsia" w:ascii="仿宋_GB2312" w:hAnsi="Times New Roman" w:eastAsia="仿宋_GB2312" w:cs="Times New Roman"/>
          <w:color w:val="000000" w:themeColor="text1"/>
          <w:sz w:val="32"/>
          <w:szCs w:val="32"/>
        </w:rPr>
        <w:t>万元，主要为</w:t>
      </w:r>
      <w:r>
        <w:rPr>
          <w:rFonts w:hint="eastAsia" w:ascii="仿宋_GB2312" w:hAnsi="Times New Roman" w:eastAsia="仿宋_GB2312" w:cs="Times New Roman"/>
          <w:color w:val="000000" w:themeColor="text1"/>
          <w:sz w:val="32"/>
          <w:szCs w:val="32"/>
          <w:lang w:val="en-US" w:eastAsia="zh-CN"/>
        </w:rPr>
        <w:t>增加对个人和家庭的补助离退休费</w:t>
      </w:r>
      <w:r>
        <w:rPr>
          <w:rFonts w:hint="eastAsia" w:ascii="仿宋_GB2312" w:hAnsi="Times New Roman" w:eastAsia="仿宋_GB2312" w:cs="Times New Roman"/>
          <w:color w:val="000000" w:themeColor="text1"/>
          <w:sz w:val="32"/>
          <w:szCs w:val="32"/>
        </w:rPr>
        <w:t>；项目支出</w:t>
      </w:r>
      <w:r>
        <w:rPr>
          <w:rFonts w:hint="eastAsia" w:ascii="仿宋_GB2312" w:hAnsi="Times New Roman" w:eastAsia="仿宋_GB2312" w:cs="Times New Roman"/>
          <w:color w:val="000000" w:themeColor="text1"/>
          <w:sz w:val="32"/>
          <w:szCs w:val="32"/>
          <w:lang w:val="en-US" w:eastAsia="zh-CN"/>
        </w:rPr>
        <w:t>减少55.00</w:t>
      </w:r>
      <w:r>
        <w:rPr>
          <w:rFonts w:hint="eastAsia" w:ascii="仿宋_GB2312" w:hAnsi="Times New Roman" w:eastAsia="仿宋_GB2312" w:cs="Times New Roman"/>
          <w:color w:val="000000" w:themeColor="text1"/>
          <w:sz w:val="32"/>
          <w:szCs w:val="32"/>
        </w:rPr>
        <w:t>万元，主要为</w:t>
      </w:r>
      <w:r>
        <w:rPr>
          <w:rFonts w:hint="eastAsia" w:ascii="仿宋_GB2312" w:hAnsi="Times New Roman" w:eastAsia="仿宋_GB2312" w:cs="Times New Roman"/>
          <w:color w:val="000000" w:themeColor="text1"/>
          <w:sz w:val="32"/>
          <w:szCs w:val="32"/>
          <w:lang w:val="en-US" w:eastAsia="zh-CN"/>
        </w:rPr>
        <w:t>减少</w:t>
      </w:r>
      <w:r>
        <w:rPr>
          <w:rFonts w:hint="eastAsia" w:ascii="仿宋" w:hAnsi="仿宋" w:eastAsia="仿宋" w:cs="仿宋"/>
          <w:sz w:val="32"/>
          <w:szCs w:val="32"/>
          <w:lang w:val="en-US" w:eastAsia="zh-CN"/>
        </w:rPr>
        <w:t>霸州市供销社盐业管理办公室执法经费</w:t>
      </w:r>
      <w:r>
        <w:rPr>
          <w:rFonts w:hint="eastAsia" w:ascii="仿宋_GB2312" w:hAnsi="Times New Roman" w:eastAsia="仿宋_GB2312" w:cs="Times New Roman"/>
          <w:color w:val="000000" w:themeColor="text1"/>
          <w:sz w:val="32"/>
          <w:szCs w:val="32"/>
        </w:rPr>
        <w:t>项目支出。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机关运行经费共计安排</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r>
        <w:rPr>
          <w:rFonts w:hint="eastAsia" w:ascii="仿宋_GB2312" w:hAnsi="Times New Roman" w:eastAsia="仿宋_GB2312" w:cs="Times New Roman"/>
          <w:sz w:val="32"/>
          <w:szCs w:val="32"/>
          <w:lang w:eastAsia="zh-CN"/>
        </w:rPr>
        <w:t>（</w:t>
      </w:r>
      <w:r>
        <w:rPr>
          <w:rFonts w:hint="eastAsia" w:ascii="仿宋" w:hAnsi="仿宋" w:eastAsia="仿宋" w:cs="仿宋"/>
          <w:sz w:val="32"/>
          <w:szCs w:val="32"/>
        </w:rPr>
        <w:t>财政</w:t>
      </w:r>
      <w:r>
        <w:rPr>
          <w:rFonts w:hint="eastAsia" w:ascii="仿宋" w:hAnsi="仿宋" w:eastAsia="仿宋" w:cs="仿宋"/>
          <w:sz w:val="32"/>
          <w:szCs w:val="32"/>
          <w:lang w:val="en-US" w:eastAsia="zh-CN"/>
        </w:rPr>
        <w:t>性资金</w:t>
      </w:r>
      <w:r>
        <w:rPr>
          <w:rFonts w:hint="eastAsia" w:ascii="仿宋" w:hAnsi="仿宋" w:eastAsia="仿宋" w:cs="仿宋"/>
          <w:sz w:val="32"/>
          <w:szCs w:val="32"/>
        </w:rPr>
        <w:t>定额补助单位，只</w:t>
      </w:r>
      <w:r>
        <w:rPr>
          <w:rFonts w:hint="eastAsia" w:ascii="仿宋" w:hAnsi="仿宋" w:eastAsia="仿宋" w:cs="仿宋"/>
          <w:sz w:val="32"/>
          <w:szCs w:val="32"/>
          <w:lang w:val="en-US" w:eastAsia="zh-CN"/>
        </w:rPr>
        <w:t>拨付部分</w:t>
      </w:r>
      <w:r>
        <w:rPr>
          <w:rFonts w:hint="eastAsia" w:ascii="仿宋" w:hAnsi="仿宋" w:eastAsia="仿宋" w:cs="仿宋"/>
          <w:sz w:val="32"/>
          <w:szCs w:val="32"/>
        </w:rPr>
        <w:t>人员工资</w:t>
      </w:r>
      <w:r>
        <w:rPr>
          <w:rFonts w:hint="eastAsia" w:ascii="仿宋" w:hAnsi="仿宋" w:eastAsia="仿宋" w:cs="仿宋"/>
          <w:sz w:val="32"/>
          <w:szCs w:val="32"/>
          <w:lang w:val="en-US" w:eastAsia="zh-CN"/>
        </w:rPr>
        <w:t>福利支出。</w:t>
      </w:r>
      <w:r>
        <w:rPr>
          <w:rFonts w:hint="eastAsia" w:ascii="仿宋_GB2312" w:hAnsi="Times New Roman" w:eastAsia="仿宋_GB2312" w:cs="Times New Roman"/>
          <w:sz w:val="32"/>
          <w:szCs w:val="32"/>
          <w:lang w:eastAsia="zh-CN"/>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20</w:t>
      </w:r>
      <w:r>
        <w:rPr>
          <w:rFonts w:hint="eastAsia" w:ascii="仿宋_GB2312" w:hAnsi="Times New Roman" w:eastAsia="仿宋_GB2312" w:cs="Times New Roman"/>
          <w:sz w:val="32"/>
          <w:szCs w:val="32"/>
        </w:rPr>
        <w:t>年，我部门“三公”经费预算安排</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万元，其中：因公出国（境）费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万元；公务用车购置及运维费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万元（其中：公务用车购置费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万元，公务用车运行维护费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万元)；公务接待费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万元，较20</w:t>
      </w:r>
      <w:r>
        <w:rPr>
          <w:rFonts w:ascii="仿宋_GB2312" w:hAnsi="Times New Roman" w:eastAsia="仿宋_GB2312" w:cs="Times New Roman"/>
          <w:sz w:val="32"/>
          <w:szCs w:val="32"/>
        </w:rPr>
        <w:t>19</w:t>
      </w:r>
      <w:r>
        <w:rPr>
          <w:rFonts w:hint="eastAsia" w:ascii="仿宋_GB2312" w:hAnsi="Times New Roman" w:eastAsia="仿宋_GB2312" w:cs="Times New Roman"/>
          <w:sz w:val="32"/>
          <w:szCs w:val="32"/>
        </w:rPr>
        <w:t>年“三公”经费</w:t>
      </w:r>
      <w:r>
        <w:rPr>
          <w:rFonts w:hint="eastAsia" w:ascii="仿宋_GB2312" w:hAnsi="Times New Roman" w:eastAsia="仿宋_GB2312" w:cs="Times New Roman"/>
          <w:sz w:val="32"/>
          <w:szCs w:val="32"/>
          <w:lang w:val="en-US" w:eastAsia="zh-CN"/>
        </w:rPr>
        <w:t>持平</w:t>
      </w:r>
      <w:r>
        <w:rPr>
          <w:rFonts w:hint="eastAsia" w:ascii="仿宋_GB2312" w:hAnsi="Times New Roman" w:eastAsia="仿宋_GB2312" w:cs="Times New Roman"/>
          <w:sz w:val="32"/>
          <w:szCs w:val="32"/>
        </w:rPr>
        <w:t>，</w:t>
      </w:r>
      <w:r>
        <w:rPr>
          <w:rFonts w:hint="eastAsia" w:ascii="仿宋" w:hAnsi="仿宋" w:eastAsia="仿宋" w:cs="仿宋"/>
          <w:sz w:val="32"/>
          <w:szCs w:val="32"/>
        </w:rPr>
        <w:t>无增减变化。</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五、预算绩效信息</w:t>
      </w:r>
    </w:p>
    <w:p>
      <w:pPr>
        <w:autoSpaceDE w:val="0"/>
        <w:autoSpaceDN w:val="0"/>
        <w:adjustRightInd w:val="0"/>
        <w:ind w:firstLine="643" w:firstLineChars="200"/>
        <w:jc w:val="left"/>
        <w:rPr>
          <w:rFonts w:ascii="楷体_GB2312" w:hAnsi="Times New Roman" w:eastAsia="楷体_GB2312" w:cs="Times New Roman"/>
          <w:b/>
          <w:sz w:val="32"/>
          <w:szCs w:val="32"/>
        </w:rPr>
      </w:pPr>
      <w:bookmarkStart w:id="1" w:name="_Toc471398463"/>
      <w:r>
        <w:rPr>
          <w:rFonts w:hint="eastAsia" w:ascii="楷体_GB2312" w:hAnsi="Times New Roman" w:eastAsia="楷体_GB2312" w:cs="Times New Roman"/>
          <w:b/>
          <w:sz w:val="32"/>
          <w:szCs w:val="32"/>
        </w:rPr>
        <w:t>第一部分 部门整体绩效</w:t>
      </w:r>
      <w:r>
        <w:rPr>
          <w:rFonts w:ascii="楷体_GB2312" w:hAnsi="Times New Roman" w:eastAsia="楷体_GB2312" w:cs="Times New Roman"/>
          <w:b/>
          <w:sz w:val="32"/>
          <w:szCs w:val="32"/>
        </w:rPr>
        <w:t>目标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w:t>
      </w:r>
      <w:r>
        <w:rPr>
          <w:rFonts w:ascii="仿宋_GB2312" w:hAnsi="Times New Roman" w:eastAsia="仿宋_GB2312" w:cs="Times New Roman"/>
          <w:sz w:val="32"/>
          <w:szCs w:val="32"/>
        </w:rPr>
        <w:t>总体绩效目标</w:t>
      </w:r>
    </w:p>
    <w:p>
      <w:pPr>
        <w:ind w:firstLine="640" w:firstLineChars="200"/>
        <w:rPr>
          <w:rFonts w:hint="eastAsia" w:ascii="仿宋" w:hAnsi="仿宋" w:eastAsia="仿宋" w:cs="仿宋"/>
        </w:rPr>
      </w:pPr>
      <w:r>
        <w:rPr>
          <w:rFonts w:hint="eastAsia" w:ascii="仿宋" w:hAnsi="仿宋" w:eastAsia="仿宋" w:cs="仿宋"/>
          <w:sz w:val="32"/>
          <w:szCs w:val="32"/>
          <w:lang w:val="en-US" w:eastAsia="zh-CN"/>
        </w:rPr>
        <w:t>发展</w:t>
      </w:r>
      <w:r>
        <w:rPr>
          <w:rFonts w:hint="eastAsia" w:ascii="仿宋_GB2312" w:hAnsi="Times New Roman" w:eastAsia="仿宋_GB2312" w:cs="Times New Roman"/>
          <w:sz w:val="32"/>
          <w:szCs w:val="32"/>
          <w:lang w:val="en-US" w:eastAsia="zh-CN"/>
        </w:rPr>
        <w:t>生产、供销、信用“三位一体”综合合作，深化供销社综合改革，不断提升为农服务能力，加快打造城乡综合服务平台，提升农产品流通水平， 成为与农民联结更紧密、为农服务功能更完备、市场化运行更高效的合作经 济组织体系，成为服务农民生产生活的生力军和综合平台。完善霸州市农村 产权交易体系，引导广大农民入市交易，加强农村产权交易中心运营工作。 做好食盐应急储备，保证全市盐产品正常供应。管理运营本级社有资产，确 保社有资产保值增值，化解金融风险。负责机关及直属单位党建、精神文明 建设和政治思想工作，成为党和政府密切联系农民群众的桥梁纽带，切实在农业现代化建设中更好地发挥作用。</w:t>
      </w:r>
    </w:p>
    <w:p>
      <w:pPr>
        <w:keepNext w:val="0"/>
        <w:keepLines w:val="0"/>
        <w:widowControl/>
        <w:suppressLineNumbers w:val="0"/>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二</w:t>
      </w:r>
      <w:r>
        <w:rPr>
          <w:rFonts w:hint="eastAsia" w:ascii="仿宋_GB2312" w:hAnsi="Times New Roman" w:eastAsia="仿宋_GB2312" w:cs="Times New Roman"/>
          <w:sz w:val="32"/>
          <w:szCs w:val="32"/>
        </w:rPr>
        <w:t>）分项</w:t>
      </w:r>
      <w:r>
        <w:rPr>
          <w:rFonts w:ascii="仿宋_GB2312" w:hAnsi="Times New Roman" w:eastAsia="仿宋_GB2312" w:cs="Times New Roman"/>
          <w:sz w:val="32"/>
          <w:szCs w:val="32"/>
        </w:rPr>
        <w:t>绩效目标</w:t>
      </w:r>
    </w:p>
    <w:p>
      <w:pPr>
        <w:ind w:firstLine="640"/>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lang w:val="en-US" w:eastAsia="zh-CN"/>
        </w:rPr>
        <w:t xml:space="preserve">1、完善霸州市农村产权交易中心城乡网络 </w:t>
      </w: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绩效目标：完善霸州市农村产权交易体系，引导广大农民入市交易，加</w:t>
      </w:r>
      <w:r>
        <w:rPr>
          <w:rFonts w:hint="default" w:ascii="仿宋_GB2312" w:hAnsi="Times New Roman" w:eastAsia="仿宋_GB2312" w:cs="Times New Roman"/>
          <w:sz w:val="32"/>
          <w:szCs w:val="32"/>
          <w:lang w:val="en-US" w:eastAsia="zh-CN"/>
        </w:rPr>
        <w:t xml:space="preserve">强农村产权交易中心运营工作。 </w:t>
      </w:r>
    </w:p>
    <w:p>
      <w:pPr>
        <w:ind w:firstLine="640" w:firstLineChars="200"/>
        <w:rPr>
          <w:rFonts w:hint="eastAsia"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 xml:space="preserve">绩效指标：霸州市各乡镇组建 15 个农村产权交易分站；出台 2 个入市交易相应规定和管理办法；开展 1次全市产权平台宣传培训工作。 </w:t>
      </w:r>
    </w:p>
    <w:p>
      <w:pPr>
        <w:ind w:firstLine="640"/>
        <w:rPr>
          <w:rFonts w:hint="eastAsia" w:ascii="楷体_GB2312" w:hAnsi="Times New Roman" w:eastAsia="楷体_GB2312" w:cs="Times New Roman"/>
          <w:b/>
          <w:sz w:val="32"/>
          <w:szCs w:val="32"/>
          <w:lang w:val="en-US" w:eastAsia="zh-CN"/>
        </w:rPr>
      </w:pPr>
      <w:r>
        <w:rPr>
          <w:rFonts w:hint="eastAsia" w:ascii="楷体_GB2312" w:hAnsi="Times New Roman" w:eastAsia="楷体_GB2312" w:cs="Times New Roman"/>
          <w:b/>
          <w:sz w:val="32"/>
          <w:szCs w:val="32"/>
          <w:lang w:val="en-US" w:eastAsia="zh-CN"/>
        </w:rPr>
        <w:t>2、</w:t>
      </w:r>
      <w:r>
        <w:rPr>
          <w:rFonts w:hint="default" w:ascii="楷体_GB2312" w:hAnsi="Times New Roman" w:eastAsia="楷体_GB2312" w:cs="Times New Roman"/>
          <w:b/>
          <w:sz w:val="32"/>
          <w:szCs w:val="32"/>
          <w:lang w:val="en-US" w:eastAsia="zh-CN"/>
        </w:rPr>
        <w:t xml:space="preserve">确保全市食盐市场供应安全 </w:t>
      </w:r>
    </w:p>
    <w:p>
      <w:pPr>
        <w:ind w:firstLine="640" w:firstLineChars="200"/>
        <w:rPr>
          <w:rFonts w:hint="eastAsia"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绩效目标：保证全市盐产品正常供应。</w:t>
      </w:r>
    </w:p>
    <w:p>
      <w:pPr>
        <w:ind w:firstLine="640" w:firstLineChars="200"/>
        <w:rPr>
          <w:rFonts w:hint="eastAsia"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绩效指标：完成应急储备食盐 488 吨，保证储备充足，按时补充损耗</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完成销售盐类产品 2400 吨。</w:t>
      </w:r>
    </w:p>
    <w:p>
      <w:pPr>
        <w:keepNext w:val="0"/>
        <w:keepLines w:val="0"/>
        <w:widowControl/>
        <w:suppressLineNumbers w:val="0"/>
        <w:ind w:firstLine="643" w:firstLineChars="200"/>
        <w:jc w:val="left"/>
        <w:rPr>
          <w:rFonts w:hint="eastAsia" w:ascii="楷体_GB2312" w:hAnsi="Times New Roman" w:eastAsia="楷体_GB2312" w:cs="Times New Roman"/>
          <w:b/>
          <w:sz w:val="32"/>
          <w:szCs w:val="32"/>
          <w:lang w:val="en-US" w:eastAsia="zh-CN"/>
        </w:rPr>
      </w:pPr>
      <w:r>
        <w:rPr>
          <w:rFonts w:hint="eastAsia" w:ascii="楷体_GB2312" w:hAnsi="Times New Roman" w:eastAsia="楷体_GB2312" w:cs="Times New Roman"/>
          <w:b/>
          <w:sz w:val="32"/>
          <w:szCs w:val="32"/>
          <w:lang w:val="en-US" w:eastAsia="zh-CN"/>
        </w:rPr>
        <w:t>3、</w:t>
      </w:r>
      <w:r>
        <w:rPr>
          <w:rFonts w:hint="default" w:ascii="楷体_GB2312" w:hAnsi="Times New Roman" w:eastAsia="楷体_GB2312" w:cs="Times New Roman"/>
          <w:b/>
          <w:sz w:val="32"/>
          <w:szCs w:val="32"/>
          <w:lang w:val="en-US" w:eastAsia="zh-CN"/>
        </w:rPr>
        <w:t xml:space="preserve">指导开展农村土地托管业务 </w:t>
      </w:r>
    </w:p>
    <w:p>
      <w:pPr>
        <w:ind w:firstLine="640" w:firstLineChars="200"/>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 xml:space="preserve">绩效目标：指导农民开展土地托管，防止土地闲置。 </w:t>
      </w:r>
    </w:p>
    <w:p>
      <w:pPr>
        <w:ind w:firstLine="640" w:firstLineChars="200"/>
      </w:pPr>
      <w:r>
        <w:rPr>
          <w:rFonts w:hint="default" w:ascii="仿宋_GB2312" w:hAnsi="Times New Roman" w:eastAsia="仿宋_GB2312" w:cs="Times New Roman"/>
          <w:sz w:val="32"/>
          <w:szCs w:val="32"/>
          <w:lang w:val="en-US" w:eastAsia="zh-CN"/>
        </w:rPr>
        <w:t>绩效指标：积极对接农民合作组织，全年完成土地托管 5.5 万亩。</w:t>
      </w:r>
      <w:r>
        <w:rPr>
          <w:rFonts w:hint="default" w:ascii="方正仿宋_GBK" w:hAnsi="方正仿宋_GBK" w:eastAsia="方正仿宋_GBK" w:cs="方正仿宋_GBK"/>
          <w:color w:val="000000"/>
          <w:kern w:val="0"/>
          <w:sz w:val="28"/>
          <w:szCs w:val="28"/>
          <w:lang w:val="en-US" w:eastAsia="zh-CN" w:bidi="ar"/>
        </w:rPr>
        <w:t xml:space="preserve"> </w:t>
      </w:r>
    </w:p>
    <w:p>
      <w:pPr>
        <w:keepNext w:val="0"/>
        <w:keepLines w:val="0"/>
        <w:widowControl/>
        <w:suppressLineNumbers w:val="0"/>
        <w:ind w:firstLine="643" w:firstLineChars="200"/>
        <w:jc w:val="left"/>
        <w:rPr>
          <w:rFonts w:hint="default" w:ascii="楷体_GB2312" w:hAnsi="Times New Roman" w:eastAsia="楷体_GB2312" w:cs="Times New Roman"/>
          <w:b/>
          <w:sz w:val="32"/>
          <w:szCs w:val="32"/>
          <w:lang w:val="en-US" w:eastAsia="zh-CN"/>
        </w:rPr>
      </w:pPr>
      <w:r>
        <w:rPr>
          <w:rFonts w:hint="eastAsia" w:ascii="楷体_GB2312" w:hAnsi="Times New Roman" w:eastAsia="楷体_GB2312" w:cs="Times New Roman"/>
          <w:b/>
          <w:sz w:val="32"/>
          <w:szCs w:val="32"/>
          <w:lang w:val="en-US" w:eastAsia="zh-CN"/>
        </w:rPr>
        <w:t>4、</w:t>
      </w:r>
      <w:r>
        <w:rPr>
          <w:rFonts w:hint="default" w:ascii="楷体_GB2312" w:hAnsi="Times New Roman" w:eastAsia="楷体_GB2312" w:cs="Times New Roman"/>
          <w:b/>
          <w:sz w:val="32"/>
          <w:szCs w:val="32"/>
          <w:lang w:val="en-US" w:eastAsia="zh-CN"/>
        </w:rPr>
        <w:t xml:space="preserve">监督和管理社有资产 </w:t>
      </w:r>
    </w:p>
    <w:p>
      <w:pPr>
        <w:ind w:firstLine="640" w:firstLineChars="200"/>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 xml:space="preserve">绩效目标：确保社有资产保值增值，化解金融风险。 </w:t>
      </w:r>
    </w:p>
    <w:p>
      <w:pPr>
        <w:ind w:firstLine="640" w:firstLineChars="200"/>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 xml:space="preserve">绩效指标： 每半年开展 1 次社有资产清查。 </w:t>
      </w:r>
    </w:p>
    <w:p>
      <w:pPr>
        <w:keepNext w:val="0"/>
        <w:keepLines w:val="0"/>
        <w:widowControl/>
        <w:suppressLineNumbers w:val="0"/>
        <w:ind w:firstLine="643" w:firstLineChars="200"/>
        <w:jc w:val="left"/>
        <w:rPr>
          <w:rFonts w:hint="default" w:ascii="楷体_GB2312" w:hAnsi="Times New Roman" w:eastAsia="楷体_GB2312" w:cs="Times New Roman"/>
          <w:b/>
          <w:sz w:val="32"/>
          <w:szCs w:val="32"/>
          <w:lang w:val="en-US" w:eastAsia="zh-CN"/>
        </w:rPr>
      </w:pPr>
      <w:r>
        <w:rPr>
          <w:rFonts w:hint="eastAsia" w:ascii="楷体_GB2312" w:hAnsi="Times New Roman" w:eastAsia="楷体_GB2312" w:cs="Times New Roman"/>
          <w:b/>
          <w:sz w:val="32"/>
          <w:szCs w:val="32"/>
          <w:lang w:val="en-US" w:eastAsia="zh-CN"/>
        </w:rPr>
        <w:t>5、</w:t>
      </w:r>
      <w:r>
        <w:rPr>
          <w:rFonts w:hint="default" w:ascii="楷体_GB2312" w:hAnsi="Times New Roman" w:eastAsia="楷体_GB2312" w:cs="Times New Roman"/>
          <w:b/>
          <w:sz w:val="32"/>
          <w:szCs w:val="32"/>
          <w:lang w:val="en-US" w:eastAsia="zh-CN"/>
        </w:rPr>
        <w:t xml:space="preserve">供销系统安全稳定 </w:t>
      </w:r>
    </w:p>
    <w:p>
      <w:pPr>
        <w:ind w:firstLine="640" w:firstLineChars="200"/>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 xml:space="preserve">绩效目标：加强各项安全防范责任和措施，全年无重特大事故发生。 </w:t>
      </w:r>
    </w:p>
    <w:p>
      <w:pPr>
        <w:ind w:firstLine="640" w:firstLineChars="200"/>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绩效指标：严格执行领导包联制度，对供销全系统开展 6 次安全生产检查</w:t>
      </w:r>
      <w:r>
        <w:rPr>
          <w:rFonts w:hint="eastAsia" w:ascii="仿宋_GB2312" w:hAnsi="Times New Roman" w:eastAsia="仿宋_GB2312" w:cs="Times New Roman"/>
          <w:sz w:val="32"/>
          <w:szCs w:val="32"/>
          <w:lang w:val="en-US" w:eastAsia="zh-CN"/>
        </w:rPr>
        <w:t>。</w:t>
      </w:r>
    </w:p>
    <w:p>
      <w:pPr>
        <w:numPr>
          <w:ilvl w:val="0"/>
          <w:numId w:val="1"/>
        </w:num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工作保障</w:t>
      </w:r>
      <w:r>
        <w:rPr>
          <w:rFonts w:ascii="仿宋_GB2312" w:hAnsi="Times New Roman" w:eastAsia="仿宋_GB2312" w:cs="Times New Roman"/>
          <w:sz w:val="32"/>
          <w:szCs w:val="32"/>
        </w:rPr>
        <w:t>措施</w:t>
      </w:r>
    </w:p>
    <w:p>
      <w:pPr>
        <w:keepNext w:val="0"/>
        <w:keepLines w:val="0"/>
        <w:widowControl/>
        <w:suppressLineNumbers w:val="0"/>
        <w:ind w:firstLine="643" w:firstLineChars="200"/>
        <w:jc w:val="left"/>
        <w:rPr>
          <w:rFonts w:hint="eastAsia" w:ascii="楷体_GB2312" w:hAnsi="Times New Roman" w:eastAsia="楷体_GB2312" w:cs="Times New Roman"/>
          <w:b/>
          <w:sz w:val="32"/>
          <w:szCs w:val="32"/>
          <w:lang w:val="en-US" w:eastAsia="zh-CN"/>
        </w:rPr>
      </w:pPr>
      <w:r>
        <w:rPr>
          <w:rFonts w:hint="eastAsia" w:ascii="楷体_GB2312" w:hAnsi="Times New Roman" w:eastAsia="楷体_GB2312" w:cs="Times New Roman"/>
          <w:b/>
          <w:sz w:val="32"/>
          <w:szCs w:val="32"/>
          <w:lang w:val="en-US" w:eastAsia="zh-CN"/>
        </w:rPr>
        <w:t>1、完善制度建设。</w:t>
      </w:r>
    </w:p>
    <w:p>
      <w:pPr>
        <w:ind w:firstLine="640" w:firstLineChars="200"/>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 xml:space="preserve">制定完善预算绩效管理制度，为全年预算绩效目标的实现奠定制度基础。 </w:t>
      </w:r>
    </w:p>
    <w:p>
      <w:pPr>
        <w:keepNext w:val="0"/>
        <w:keepLines w:val="0"/>
        <w:widowControl/>
        <w:suppressLineNumbers w:val="0"/>
        <w:ind w:firstLine="643" w:firstLineChars="200"/>
        <w:jc w:val="left"/>
        <w:rPr>
          <w:rFonts w:hint="default" w:ascii="楷体_GB2312" w:hAnsi="Times New Roman" w:eastAsia="楷体_GB2312" w:cs="Times New Roman"/>
          <w:b/>
          <w:sz w:val="32"/>
          <w:szCs w:val="32"/>
          <w:lang w:val="en-US" w:eastAsia="zh-CN"/>
        </w:rPr>
      </w:pPr>
      <w:r>
        <w:rPr>
          <w:rFonts w:hint="eastAsia" w:ascii="楷体_GB2312" w:hAnsi="Times New Roman" w:eastAsia="楷体_GB2312" w:cs="Times New Roman"/>
          <w:b/>
          <w:sz w:val="32"/>
          <w:szCs w:val="32"/>
          <w:lang w:val="en-US" w:eastAsia="zh-CN"/>
        </w:rPr>
        <w:t>2、</w:t>
      </w:r>
      <w:r>
        <w:rPr>
          <w:rFonts w:hint="default" w:ascii="楷体_GB2312" w:hAnsi="Times New Roman" w:eastAsia="楷体_GB2312" w:cs="Times New Roman"/>
          <w:b/>
          <w:sz w:val="32"/>
          <w:szCs w:val="32"/>
          <w:lang w:val="en-US" w:eastAsia="zh-CN"/>
        </w:rPr>
        <w:t>加强支出管理。</w:t>
      </w:r>
    </w:p>
    <w:p>
      <w:pPr>
        <w:ind w:firstLine="640" w:firstLineChars="200"/>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 xml:space="preserve">通过优化支出结构、编细编实预算、加快履行政府采购手续、尽快启动项目、及时支付资金、确保支出进度达标。 </w:t>
      </w:r>
    </w:p>
    <w:p>
      <w:pPr>
        <w:keepNext w:val="0"/>
        <w:keepLines w:val="0"/>
        <w:widowControl/>
        <w:suppressLineNumbers w:val="0"/>
        <w:ind w:firstLine="643" w:firstLineChars="200"/>
        <w:jc w:val="left"/>
        <w:rPr>
          <w:rFonts w:hint="default" w:ascii="楷体_GB2312" w:hAnsi="Times New Roman" w:eastAsia="楷体_GB2312" w:cs="Times New Roman"/>
          <w:b/>
          <w:sz w:val="32"/>
          <w:szCs w:val="32"/>
          <w:lang w:val="en-US" w:eastAsia="zh-CN"/>
        </w:rPr>
      </w:pPr>
      <w:r>
        <w:rPr>
          <w:rFonts w:hint="eastAsia" w:ascii="楷体_GB2312" w:hAnsi="Times New Roman" w:eastAsia="楷体_GB2312" w:cs="Times New Roman"/>
          <w:b/>
          <w:sz w:val="32"/>
          <w:szCs w:val="32"/>
          <w:lang w:val="en-US" w:eastAsia="zh-CN"/>
        </w:rPr>
        <w:t>3、</w:t>
      </w:r>
      <w:r>
        <w:rPr>
          <w:rFonts w:hint="default" w:ascii="楷体_GB2312" w:hAnsi="Times New Roman" w:eastAsia="楷体_GB2312" w:cs="Times New Roman"/>
          <w:b/>
          <w:sz w:val="32"/>
          <w:szCs w:val="32"/>
          <w:lang w:val="en-US" w:eastAsia="zh-CN"/>
        </w:rPr>
        <w:t>加强绩效运行监控。</w:t>
      </w:r>
    </w:p>
    <w:p>
      <w:pPr>
        <w:keepNext w:val="0"/>
        <w:keepLines w:val="0"/>
        <w:widowControl/>
        <w:numPr>
          <w:ilvl w:val="0"/>
          <w:numId w:val="0"/>
        </w:numPr>
        <w:suppressLineNumbers w:val="0"/>
        <w:ind w:leftChars="0" w:firstLine="640" w:firstLineChars="200"/>
        <w:jc w:val="left"/>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 xml:space="preserve">按要求开展绩效运行监控，发现问题及时采取措施，确保绩效目标如期保质实现。 </w:t>
      </w:r>
    </w:p>
    <w:p>
      <w:pPr>
        <w:keepNext w:val="0"/>
        <w:keepLines w:val="0"/>
        <w:widowControl/>
        <w:suppressLineNumbers w:val="0"/>
        <w:ind w:firstLine="643" w:firstLineChars="200"/>
        <w:jc w:val="left"/>
        <w:rPr>
          <w:rFonts w:hint="default" w:ascii="楷体_GB2312" w:hAnsi="Times New Roman" w:eastAsia="楷体_GB2312" w:cs="Times New Roman"/>
          <w:b/>
          <w:sz w:val="32"/>
          <w:szCs w:val="32"/>
          <w:lang w:val="en-US" w:eastAsia="zh-CN"/>
        </w:rPr>
      </w:pPr>
      <w:r>
        <w:rPr>
          <w:rFonts w:hint="eastAsia" w:ascii="楷体_GB2312" w:hAnsi="Times New Roman" w:eastAsia="楷体_GB2312" w:cs="Times New Roman"/>
          <w:b/>
          <w:sz w:val="32"/>
          <w:szCs w:val="32"/>
          <w:lang w:val="en-US" w:eastAsia="zh-CN"/>
        </w:rPr>
        <w:t>4、</w:t>
      </w:r>
      <w:r>
        <w:rPr>
          <w:rFonts w:hint="default" w:ascii="楷体_GB2312" w:hAnsi="Times New Roman" w:eastAsia="楷体_GB2312" w:cs="Times New Roman"/>
          <w:b/>
          <w:sz w:val="32"/>
          <w:szCs w:val="32"/>
          <w:lang w:val="en-US" w:eastAsia="zh-CN"/>
        </w:rPr>
        <w:t>做好绩效自评。</w:t>
      </w:r>
    </w:p>
    <w:p>
      <w:pPr>
        <w:keepNext w:val="0"/>
        <w:keepLines w:val="0"/>
        <w:widowControl/>
        <w:numPr>
          <w:ilvl w:val="0"/>
          <w:numId w:val="0"/>
        </w:numPr>
        <w:suppressLineNumbers w:val="0"/>
        <w:ind w:leftChars="0" w:firstLine="640" w:firstLineChars="200"/>
        <w:jc w:val="left"/>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 xml:space="preserve">按要求开展上年度部门预算绩效自评和重点评价工作，对评价中发现的问题及时整改，调整优化支出结构，提高财政资金使用效益。 </w:t>
      </w:r>
    </w:p>
    <w:p>
      <w:pPr>
        <w:keepNext w:val="0"/>
        <w:keepLines w:val="0"/>
        <w:widowControl/>
        <w:suppressLineNumbers w:val="0"/>
        <w:ind w:firstLine="643" w:firstLineChars="200"/>
        <w:jc w:val="left"/>
        <w:rPr>
          <w:rFonts w:hint="default" w:ascii="楷体_GB2312" w:hAnsi="Times New Roman" w:eastAsia="楷体_GB2312" w:cs="Times New Roman"/>
          <w:b/>
          <w:sz w:val="32"/>
          <w:szCs w:val="32"/>
          <w:lang w:val="en-US" w:eastAsia="zh-CN"/>
        </w:rPr>
      </w:pPr>
      <w:r>
        <w:rPr>
          <w:rFonts w:hint="eastAsia" w:ascii="楷体_GB2312" w:hAnsi="Times New Roman" w:eastAsia="楷体_GB2312" w:cs="Times New Roman"/>
          <w:b/>
          <w:sz w:val="32"/>
          <w:szCs w:val="32"/>
          <w:lang w:val="en-US" w:eastAsia="zh-CN"/>
        </w:rPr>
        <w:t>5、</w:t>
      </w:r>
      <w:r>
        <w:rPr>
          <w:rFonts w:hint="default" w:ascii="楷体_GB2312" w:hAnsi="Times New Roman" w:eastAsia="楷体_GB2312" w:cs="Times New Roman"/>
          <w:b/>
          <w:sz w:val="32"/>
          <w:szCs w:val="32"/>
          <w:lang w:val="en-US" w:eastAsia="zh-CN"/>
        </w:rPr>
        <w:t>加强宣传培训。</w:t>
      </w:r>
    </w:p>
    <w:p>
      <w:pPr>
        <w:keepNext w:val="0"/>
        <w:keepLines w:val="0"/>
        <w:widowControl/>
        <w:numPr>
          <w:ilvl w:val="0"/>
          <w:numId w:val="0"/>
        </w:numPr>
        <w:suppressLineNumbers w:val="0"/>
        <w:ind w:leftChars="0" w:firstLine="640" w:firstLineChars="200"/>
        <w:jc w:val="left"/>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加强人员培训，提高本部门职工业务素质；加大宣传力度，强化预算绩效管理意识，促进预算绩效管理水平进一步提升</w:t>
      </w:r>
      <w:r>
        <w:rPr>
          <w:rFonts w:hint="eastAsia" w:ascii="仿宋_GB2312" w:hAnsi="Times New Roman" w:eastAsia="仿宋_GB2312" w:cs="Times New Roman"/>
          <w:sz w:val="32"/>
          <w:szCs w:val="32"/>
          <w:lang w:val="en-US" w:eastAsia="zh-CN"/>
        </w:rPr>
        <w:t>。</w:t>
      </w:r>
    </w:p>
    <w:p>
      <w:pPr>
        <w:numPr>
          <w:ilvl w:val="0"/>
          <w:numId w:val="0"/>
        </w:numPr>
        <w:rPr>
          <w:rFonts w:ascii="仿宋_GB2312" w:hAnsi="Times New Roman" w:eastAsia="仿宋_GB2312" w:cs="Times New Roman"/>
          <w:sz w:val="32"/>
          <w:szCs w:val="32"/>
        </w:rPr>
      </w:pPr>
    </w:p>
    <w:p>
      <w:pPr>
        <w:numPr>
          <w:ilvl w:val="0"/>
          <w:numId w:val="2"/>
        </w:num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预算项目</w:t>
      </w:r>
      <w:r>
        <w:rPr>
          <w:rFonts w:ascii="楷体_GB2312" w:hAnsi="Times New Roman" w:eastAsia="楷体_GB2312" w:cs="Times New Roman"/>
          <w:b/>
          <w:sz w:val="32"/>
          <w:szCs w:val="32"/>
        </w:rPr>
        <w:t>绩效目标</w:t>
      </w:r>
    </w:p>
    <w:p>
      <w:pPr>
        <w:keepNext w:val="0"/>
        <w:keepLines w:val="0"/>
        <w:widowControl/>
        <w:suppressLineNumbers w:val="0"/>
        <w:ind w:firstLine="560" w:firstLineChars="200"/>
        <w:jc w:val="left"/>
        <w:rPr>
          <w:rFonts w:ascii="楷体_GB2312" w:hAnsi="Times New Roman" w:eastAsia="楷体_GB2312" w:cs="Times New Roman"/>
          <w:b/>
          <w:sz w:val="32"/>
          <w:szCs w:val="32"/>
        </w:rPr>
      </w:pPr>
      <w:r>
        <w:rPr>
          <w:rFonts w:hint="eastAsia" w:ascii="方正仿宋_GBK" w:eastAsia="方正仿宋_GBK"/>
          <w:b/>
          <w:sz w:val="28"/>
        </w:rPr>
        <w:t>1、</w:t>
      </w:r>
      <w:r>
        <w:rPr>
          <w:rFonts w:hint="eastAsia" w:ascii="方正仿宋_GBK" w:eastAsia="方正仿宋_GBK"/>
          <w:b/>
          <w:sz w:val="28"/>
          <w:lang w:val="en-US" w:eastAsia="zh-CN"/>
        </w:rPr>
        <w:t>霸州市农村产权交易中心经费</w:t>
      </w:r>
      <w:r>
        <w:rPr>
          <w:rFonts w:hint="eastAsia" w:ascii="方正仿宋_GBK" w:eastAsia="方正仿宋_GBK"/>
          <w:b/>
          <w:sz w:val="28"/>
        </w:rPr>
        <w:t>绩效目标表</w:t>
      </w:r>
    </w:p>
    <w:bookmarkEnd w:id="1"/>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5"/>
        <w:gridCol w:w="109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5"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0973" w:type="dxa"/>
            <w:tcBorders>
              <w:top w:val="single" w:color="000000" w:sz="6" w:space="0"/>
              <w:left w:val="single" w:color="000000" w:sz="6" w:space="0"/>
              <w:bottom w:val="nil"/>
              <w:right w:val="single" w:color="000000" w:sz="6" w:space="0"/>
            </w:tcBorders>
            <w:vAlign w:val="center"/>
          </w:tcPr>
          <w:p>
            <w:pPr>
              <w:spacing w:line="300" w:lineRule="exact"/>
              <w:jc w:val="both"/>
              <w:rPr>
                <w:rFonts w:hint="eastAsia" w:ascii="方正书宋_GBK" w:eastAsia="方正书宋_GBK"/>
                <w:b/>
              </w:rPr>
            </w:pPr>
            <w:r>
              <w:rPr>
                <w:rFonts w:ascii="方正书宋_GBK" w:hAnsi="方正书宋_GBK" w:eastAsia="方正书宋_GBK" w:cs="方正书宋_GBK"/>
                <w:color w:val="000000"/>
                <w:kern w:val="0"/>
                <w:sz w:val="21"/>
                <w:szCs w:val="21"/>
                <w:lang w:val="en-US" w:eastAsia="zh-CN" w:bidi="ar"/>
              </w:rPr>
              <w:t>1</w:t>
            </w:r>
            <w:r>
              <w:rPr>
                <w:rFonts w:hint="eastAsia" w:ascii="方正书宋_GBK" w:eastAsia="方正书宋_GBK"/>
                <w:b/>
                <w:lang w:val="en-US" w:eastAsia="zh-CN"/>
              </w:rPr>
              <w:t xml:space="preserve">、完成乡镇级交易平台建设，与县级平台做好对接；做好宣传与推广，让更多人了解、 </w:t>
            </w:r>
            <w:r>
              <w:rPr>
                <w:rFonts w:hint="default" w:ascii="方正书宋_GBK" w:eastAsia="方正书宋_GBK"/>
                <w:b/>
                <w:lang w:val="en-US" w:eastAsia="zh-CN"/>
              </w:rPr>
              <w:t>关注产权交易平台；引导农村产权进入公开市场交易，进一步规范农村产权流转交易行为。</w:t>
            </w:r>
          </w:p>
          <w:p>
            <w:pPr>
              <w:spacing w:line="300" w:lineRule="exact"/>
              <w:jc w:val="left"/>
              <w:rPr>
                <w:rFonts w:ascii="方正书宋_GBK" w:eastAsia="方正书宋_GBK"/>
              </w:rPr>
            </w:pP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8"/>
        <w:gridCol w:w="2080"/>
        <w:gridCol w:w="2404"/>
        <w:gridCol w:w="349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8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208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4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349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4" w:hRule="atLeast"/>
          <w:jc w:val="center"/>
        </w:trPr>
        <w:tc>
          <w:tcPr>
            <w:tcW w:w="1868"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08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lang w:val="en-US" w:eastAsia="zh-CN"/>
              </w:rPr>
              <w:t>数量指标</w:t>
            </w:r>
          </w:p>
          <w:p>
            <w:pPr>
              <w:spacing w:line="300" w:lineRule="exact"/>
              <w:jc w:val="center"/>
              <w:rPr>
                <w:rFonts w:hint="eastAsia" w:ascii="方正书宋_GBK" w:eastAsia="方正书宋_GBK"/>
              </w:rPr>
            </w:pPr>
          </w:p>
        </w:tc>
        <w:tc>
          <w:tcPr>
            <w:tcW w:w="24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lang w:val="en-US" w:eastAsia="zh-CN"/>
              </w:rPr>
              <w:t>乡镇平台建设</w:t>
            </w:r>
          </w:p>
          <w:p>
            <w:pPr>
              <w:spacing w:line="300" w:lineRule="exact"/>
              <w:jc w:val="center"/>
              <w:rPr>
                <w:rFonts w:hint="eastAsia" w:ascii="方正书宋_GBK" w:eastAsia="方正书宋_GBK"/>
              </w:rPr>
            </w:pPr>
          </w:p>
        </w:tc>
        <w:tc>
          <w:tcPr>
            <w:tcW w:w="349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完成全市乡镇级平台建设数量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lang w:val="en-US" w:eastAsia="zh-CN"/>
              </w:rPr>
              <w:t>15 个</w:t>
            </w:r>
          </w:p>
          <w:p>
            <w:pPr>
              <w:spacing w:line="300" w:lineRule="exact"/>
              <w:jc w:val="center"/>
              <w:rPr>
                <w:rFonts w:hint="eastAsia" w:ascii="方正书宋_GBK" w:eastAsia="方正书宋_GBK"/>
              </w:rPr>
            </w:pP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lang w:val="en-US" w:eastAsia="zh-CN"/>
              </w:rPr>
              <w:t>计划标准</w:t>
            </w:r>
          </w:p>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rPr>
            </w:pPr>
          </w:p>
        </w:tc>
        <w:tc>
          <w:tcPr>
            <w:tcW w:w="208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lang w:val="en-US" w:eastAsia="zh-CN"/>
              </w:rPr>
              <w:t>数量指标</w:t>
            </w:r>
          </w:p>
          <w:p>
            <w:pPr>
              <w:spacing w:line="300" w:lineRule="exact"/>
              <w:jc w:val="center"/>
              <w:rPr>
                <w:rFonts w:hint="eastAsia" w:ascii="方正书宋_GBK" w:eastAsia="方正书宋_GBK"/>
              </w:rPr>
            </w:pPr>
          </w:p>
        </w:tc>
        <w:tc>
          <w:tcPr>
            <w:tcW w:w="24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lang w:val="en-US" w:eastAsia="zh-CN"/>
              </w:rPr>
              <w:t>完成总量</w:t>
            </w:r>
            <w:r>
              <w:rPr>
                <w:rFonts w:hint="default" w:ascii="方正书宋_GBK" w:eastAsia="方正书宋_GBK"/>
                <w:lang w:val="en-US" w:eastAsia="zh-CN"/>
              </w:rPr>
              <w:t>（亩）</w:t>
            </w:r>
          </w:p>
          <w:p>
            <w:pPr>
              <w:spacing w:line="300" w:lineRule="exact"/>
              <w:jc w:val="center"/>
              <w:rPr>
                <w:rFonts w:hint="eastAsia" w:ascii="方正书宋_GBK" w:eastAsia="方正书宋_GBK"/>
              </w:rPr>
            </w:pPr>
          </w:p>
        </w:tc>
        <w:tc>
          <w:tcPr>
            <w:tcW w:w="349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lang w:val="en-US" w:eastAsia="zh-CN"/>
              </w:rPr>
              <w:t>通过在农村产权交易中心挂</w:t>
            </w:r>
          </w:p>
          <w:p>
            <w:pPr>
              <w:spacing w:line="300" w:lineRule="exact"/>
              <w:jc w:val="center"/>
              <w:rPr>
                <w:rFonts w:hint="eastAsia" w:ascii="方正书宋_GBK" w:eastAsia="方正书宋_GBK"/>
              </w:rPr>
            </w:pPr>
            <w:r>
              <w:rPr>
                <w:rFonts w:hint="default" w:ascii="方正书宋_GBK" w:eastAsia="方正书宋_GBK"/>
                <w:lang w:val="en-US" w:eastAsia="zh-CN"/>
              </w:rPr>
              <w:t>牌、交易、办理签证的数量值</w:t>
            </w:r>
          </w:p>
          <w:p>
            <w:pPr>
              <w:spacing w:line="300" w:lineRule="exact"/>
              <w:jc w:val="center"/>
              <w:rPr>
                <w:rFonts w:hint="eastAsia" w:ascii="方正书宋_GBK" w:eastAsia="方正书宋_GBK"/>
              </w:rPr>
            </w:pP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lang w:val="en-US" w:eastAsia="zh-CN"/>
              </w:rPr>
              <w:t>≥100 亩</w:t>
            </w:r>
          </w:p>
          <w:p>
            <w:pPr>
              <w:spacing w:line="300" w:lineRule="exact"/>
              <w:jc w:val="center"/>
              <w:rPr>
                <w:rFonts w:hint="eastAsia" w:ascii="方正书宋_GBK" w:eastAsia="方正书宋_GBK"/>
              </w:rPr>
            </w:pP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0" w:hRule="atLeast"/>
          <w:jc w:val="center"/>
        </w:trPr>
        <w:tc>
          <w:tcPr>
            <w:tcW w:w="186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rPr>
            </w:pPr>
          </w:p>
        </w:tc>
        <w:tc>
          <w:tcPr>
            <w:tcW w:w="208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lang w:val="en-US" w:eastAsia="zh-CN"/>
              </w:rPr>
              <w:t xml:space="preserve">数量指标 </w:t>
            </w:r>
          </w:p>
          <w:p>
            <w:pPr>
              <w:spacing w:line="300" w:lineRule="exact"/>
              <w:jc w:val="center"/>
              <w:rPr>
                <w:rFonts w:hint="eastAsia" w:ascii="方正书宋_GBK" w:eastAsia="方正书宋_GBK"/>
              </w:rPr>
            </w:pPr>
          </w:p>
        </w:tc>
        <w:tc>
          <w:tcPr>
            <w:tcW w:w="24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lang w:val="en-US" w:eastAsia="zh-CN"/>
              </w:rPr>
              <w:t>制度建设</w:t>
            </w:r>
          </w:p>
          <w:p>
            <w:pPr>
              <w:spacing w:line="300" w:lineRule="exact"/>
              <w:jc w:val="center"/>
              <w:rPr>
                <w:rFonts w:hint="eastAsia" w:ascii="方正书宋_GBK" w:eastAsia="方正书宋_GBK"/>
              </w:rPr>
            </w:pPr>
          </w:p>
        </w:tc>
        <w:tc>
          <w:tcPr>
            <w:tcW w:w="349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both"/>
              <w:rPr>
                <w:rFonts w:hint="eastAsia" w:ascii="方正书宋_GBK" w:eastAsia="方正书宋_GBK"/>
              </w:rPr>
            </w:pPr>
            <w:r>
              <w:rPr>
                <w:rFonts w:hint="eastAsia" w:ascii="方正书宋_GBK" w:eastAsia="方正书宋_GBK"/>
                <w:lang w:val="en-US" w:eastAsia="zh-CN"/>
              </w:rPr>
              <w:t>出台各种管理办法及农村集</w:t>
            </w:r>
            <w:r>
              <w:rPr>
                <w:rFonts w:hint="default" w:ascii="方正书宋_GBK" w:eastAsia="方正书宋_GBK"/>
                <w:lang w:val="en-US" w:eastAsia="zh-CN"/>
              </w:rPr>
              <w:t xml:space="preserve">体资产和农村建设项目入市交易的规定 </w:t>
            </w:r>
          </w:p>
          <w:p>
            <w:pPr>
              <w:spacing w:line="300" w:lineRule="exact"/>
              <w:jc w:val="center"/>
              <w:rPr>
                <w:rFonts w:hint="eastAsia" w:ascii="方正书宋_GBK" w:eastAsia="方正书宋_GBK"/>
              </w:rPr>
            </w:pP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lang w:val="en-US" w:eastAsia="zh-CN"/>
              </w:rPr>
              <w:t xml:space="preserve">≥4 个 </w:t>
            </w:r>
          </w:p>
          <w:p>
            <w:pPr>
              <w:spacing w:line="300" w:lineRule="exact"/>
              <w:jc w:val="center"/>
              <w:rPr>
                <w:rFonts w:hint="eastAsia" w:ascii="方正书宋_GBK" w:eastAsia="方正书宋_GBK"/>
              </w:rPr>
            </w:pP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lang w:val="en-US" w:eastAsia="zh-CN"/>
              </w:rPr>
              <w:t xml:space="preserve">计划标准 </w:t>
            </w:r>
          </w:p>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rPr>
            </w:pPr>
          </w:p>
        </w:tc>
        <w:tc>
          <w:tcPr>
            <w:tcW w:w="208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lang w:val="en-US" w:eastAsia="zh-CN"/>
              </w:rPr>
              <w:t>数量指标</w:t>
            </w:r>
          </w:p>
          <w:p>
            <w:pPr>
              <w:spacing w:line="300" w:lineRule="exact"/>
              <w:jc w:val="center"/>
              <w:rPr>
                <w:rFonts w:hint="eastAsia" w:ascii="方正书宋_GBK" w:eastAsia="方正书宋_GBK"/>
              </w:rPr>
            </w:pPr>
          </w:p>
        </w:tc>
        <w:tc>
          <w:tcPr>
            <w:tcW w:w="24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举办培训</w:t>
            </w:r>
          </w:p>
        </w:tc>
        <w:tc>
          <w:tcPr>
            <w:tcW w:w="349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平台操作员和全市村街的业务知识培训</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2项</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rPr>
            </w:pPr>
          </w:p>
        </w:tc>
        <w:tc>
          <w:tcPr>
            <w:tcW w:w="208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质量指标</w:t>
            </w:r>
          </w:p>
        </w:tc>
        <w:tc>
          <w:tcPr>
            <w:tcW w:w="24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交易签证率</w:t>
            </w:r>
          </w:p>
        </w:tc>
        <w:tc>
          <w:tcPr>
            <w:tcW w:w="349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发放交易签证的占挂牌交易的比例</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≥80%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8" w:type="dxa"/>
            <w:vMerge w:val="continue"/>
            <w:tcBorders>
              <w:top w:val="single" w:color="000000" w:sz="6" w:space="0"/>
              <w:left w:val="single" w:color="000000" w:sz="6" w:space="0"/>
              <w:bottom w:val="single" w:color="auto" w:sz="4" w:space="0"/>
              <w:right w:val="single" w:color="000000" w:sz="6" w:space="0"/>
            </w:tcBorders>
            <w:vAlign w:val="center"/>
          </w:tcPr>
          <w:p>
            <w:pPr>
              <w:widowControl/>
              <w:jc w:val="left"/>
              <w:rPr>
                <w:rFonts w:ascii="方正书宋_GBK" w:eastAsia="方正书宋_GBK"/>
                <w:szCs w:val="24"/>
              </w:rPr>
            </w:pPr>
          </w:p>
        </w:tc>
        <w:tc>
          <w:tcPr>
            <w:tcW w:w="208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时效指标</w:t>
            </w:r>
          </w:p>
        </w:tc>
        <w:tc>
          <w:tcPr>
            <w:tcW w:w="24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各项工作按时完成率</w:t>
            </w:r>
          </w:p>
        </w:tc>
        <w:tc>
          <w:tcPr>
            <w:tcW w:w="349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lang w:val="en-US" w:eastAsia="zh-CN"/>
              </w:rPr>
              <w:t>各项工作按时完成率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lang w:val="en-US" w:eastAsia="zh-CN"/>
              </w:rPr>
              <w:t>≥80%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2" w:hRule="atLeast"/>
          <w:jc w:val="center"/>
        </w:trPr>
        <w:tc>
          <w:tcPr>
            <w:tcW w:w="1868"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2080" w:type="dxa"/>
            <w:tcBorders>
              <w:top w:val="single" w:color="000000" w:sz="6" w:space="0"/>
              <w:left w:val="single" w:color="auto" w:sz="4"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社会效益指标</w:t>
            </w:r>
          </w:p>
        </w:tc>
        <w:tc>
          <w:tcPr>
            <w:tcW w:w="24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整合土地资源</w:t>
            </w:r>
          </w:p>
        </w:tc>
        <w:tc>
          <w:tcPr>
            <w:tcW w:w="349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通过产权整合零散土地，形成规模化</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lang w:val="en-US" w:eastAsia="zh-CN"/>
              </w:rPr>
              <w:t>≥50亩</w:t>
            </w:r>
          </w:p>
          <w:p>
            <w:pPr>
              <w:spacing w:line="300" w:lineRule="exact"/>
              <w:jc w:val="center"/>
              <w:rPr>
                <w:rFonts w:hint="eastAsia" w:ascii="方正书宋_GBK" w:eastAsia="方正书宋_GBK"/>
              </w:rPr>
            </w:pP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8" w:type="dxa"/>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方正书宋_GBK" w:eastAsia="方正书宋_GBK"/>
              </w:rPr>
            </w:pPr>
          </w:p>
        </w:tc>
        <w:tc>
          <w:tcPr>
            <w:tcW w:w="2080" w:type="dxa"/>
            <w:tcBorders>
              <w:top w:val="single" w:color="000000" w:sz="6" w:space="0"/>
              <w:left w:val="single" w:color="auto" w:sz="4"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可持续影响指标</w:t>
            </w:r>
          </w:p>
        </w:tc>
        <w:tc>
          <w:tcPr>
            <w:tcW w:w="24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平台持续发挥作用时间</w:t>
            </w:r>
          </w:p>
        </w:tc>
        <w:tc>
          <w:tcPr>
            <w:tcW w:w="349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lang w:val="en-US" w:eastAsia="zh-CN"/>
              </w:rPr>
              <w:t>平台持续发挥作用时间</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lang w:val="en-US" w:eastAsia="zh-CN"/>
              </w:rPr>
              <w:t xml:space="preserve">≥3年 </w:t>
            </w:r>
          </w:p>
          <w:p>
            <w:pPr>
              <w:spacing w:line="300" w:lineRule="exact"/>
              <w:jc w:val="center"/>
              <w:rPr>
                <w:rFonts w:hint="eastAsia" w:ascii="方正书宋_GBK" w:eastAsia="方正书宋_GBK"/>
              </w:rPr>
            </w:pP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8" w:type="dxa"/>
            <w:tcBorders>
              <w:top w:val="single" w:color="auto" w:sz="4"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08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服务对象满意度指标</w:t>
            </w:r>
          </w:p>
        </w:tc>
        <w:tc>
          <w:tcPr>
            <w:tcW w:w="24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群众满意率</w:t>
            </w:r>
          </w:p>
        </w:tc>
        <w:tc>
          <w:tcPr>
            <w:tcW w:w="349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群众满意人数占全部调查人数的比例</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lang w:val="en-US" w:eastAsia="zh-CN"/>
              </w:rPr>
              <w:t>≥80%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计划标准</w:t>
            </w:r>
          </w:p>
        </w:tc>
      </w:tr>
    </w:tbl>
    <w:p>
      <w:pPr>
        <w:keepNext w:val="0"/>
        <w:keepLines w:val="0"/>
        <w:widowControl/>
        <w:suppressLineNumbers w:val="0"/>
        <w:ind w:firstLine="560" w:firstLineChars="200"/>
        <w:jc w:val="left"/>
        <w:rPr>
          <w:rFonts w:hint="eastAsia" w:ascii="方正仿宋_GBK" w:eastAsia="方正仿宋_GBK"/>
          <w:b/>
          <w:sz w:val="28"/>
          <w:lang w:val="en-US" w:eastAsia="zh-CN"/>
        </w:rPr>
      </w:pPr>
    </w:p>
    <w:p>
      <w:pPr>
        <w:keepNext w:val="0"/>
        <w:keepLines w:val="0"/>
        <w:widowControl/>
        <w:suppressLineNumbers w:val="0"/>
        <w:ind w:firstLine="560" w:firstLineChars="200"/>
        <w:jc w:val="left"/>
        <w:rPr>
          <w:rFonts w:hint="eastAsia" w:ascii="方正仿宋_GBK" w:eastAsia="方正仿宋_GBK"/>
          <w:b/>
          <w:sz w:val="28"/>
          <w:lang w:val="en-US" w:eastAsia="zh-CN"/>
        </w:rPr>
      </w:pPr>
    </w:p>
    <w:p>
      <w:pPr>
        <w:keepNext w:val="0"/>
        <w:keepLines w:val="0"/>
        <w:widowControl/>
        <w:suppressLineNumbers w:val="0"/>
        <w:ind w:firstLine="560" w:firstLineChars="200"/>
        <w:jc w:val="left"/>
        <w:rPr>
          <w:rFonts w:hint="eastAsia" w:ascii="方正仿宋_GBK" w:eastAsia="方正仿宋_GBK"/>
          <w:b/>
          <w:sz w:val="28"/>
          <w:lang w:val="en-US" w:eastAsia="zh-CN"/>
        </w:rPr>
      </w:pPr>
    </w:p>
    <w:p>
      <w:pPr>
        <w:keepNext w:val="0"/>
        <w:keepLines w:val="0"/>
        <w:widowControl/>
        <w:suppressLineNumbers w:val="0"/>
        <w:ind w:firstLine="560" w:firstLineChars="200"/>
        <w:jc w:val="left"/>
        <w:rPr>
          <w:rFonts w:hint="eastAsia" w:ascii="方正仿宋_GBK" w:eastAsia="方正仿宋_GBK"/>
          <w:b/>
          <w:sz w:val="28"/>
          <w:lang w:val="en-US" w:eastAsia="zh-CN"/>
        </w:rPr>
      </w:pPr>
    </w:p>
    <w:p>
      <w:pPr>
        <w:keepNext w:val="0"/>
        <w:keepLines w:val="0"/>
        <w:widowControl/>
        <w:suppressLineNumbers w:val="0"/>
        <w:ind w:firstLine="560" w:firstLineChars="200"/>
        <w:jc w:val="left"/>
        <w:rPr>
          <w:rFonts w:ascii="楷体_GB2312" w:hAnsi="Times New Roman" w:eastAsia="楷体_GB2312" w:cs="Times New Roman"/>
          <w:b/>
          <w:sz w:val="32"/>
          <w:szCs w:val="32"/>
        </w:rPr>
      </w:pPr>
      <w:r>
        <w:rPr>
          <w:rFonts w:hint="eastAsia" w:ascii="方正仿宋_GBK" w:eastAsia="方正仿宋_GBK"/>
          <w:b/>
          <w:sz w:val="28"/>
          <w:lang w:val="en-US" w:eastAsia="zh-CN"/>
        </w:rPr>
        <w:t>2</w:t>
      </w:r>
      <w:r>
        <w:rPr>
          <w:rFonts w:hint="eastAsia" w:ascii="方正仿宋_GBK" w:eastAsia="方正仿宋_GBK"/>
          <w:b/>
          <w:sz w:val="28"/>
        </w:rPr>
        <w:t>、</w:t>
      </w:r>
      <w:r>
        <w:rPr>
          <w:rFonts w:hint="eastAsia" w:ascii="方正仿宋_GBK" w:eastAsia="方正仿宋_GBK"/>
          <w:b/>
          <w:sz w:val="28"/>
          <w:lang w:val="en-US" w:eastAsia="zh-CN"/>
        </w:rPr>
        <w:t>市级食盐储备库所需资金</w:t>
      </w:r>
      <w:r>
        <w:rPr>
          <w:rFonts w:hint="eastAsia" w:ascii="方正仿宋_GBK" w:eastAsia="方正仿宋_GBK"/>
          <w:b/>
          <w:sz w:val="28"/>
        </w:rPr>
        <w:t>绩效目标表</w:t>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3"/>
        <w:gridCol w:w="109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3"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0955" w:type="dxa"/>
            <w:tcBorders>
              <w:top w:val="single" w:color="000000" w:sz="6" w:space="0"/>
              <w:left w:val="single" w:color="000000" w:sz="6" w:space="0"/>
              <w:bottom w:val="nil"/>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1、通过加强食盐储备管理，保证食盐常年储备量488吨，维护食盐市场稳定，保障食盐供应，应对发生重大自然灾害或者其他突发公共事件，有效发挥储备食盐在宏观调控中的作用。</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2"/>
        <w:gridCol w:w="2096"/>
        <w:gridCol w:w="2387"/>
        <w:gridCol w:w="3510"/>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85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20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3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35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0" w:hRule="atLeast"/>
          <w:jc w:val="center"/>
        </w:trPr>
        <w:tc>
          <w:tcPr>
            <w:tcW w:w="1852"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20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数量指标</w:t>
            </w:r>
          </w:p>
        </w:tc>
        <w:tc>
          <w:tcPr>
            <w:tcW w:w="23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日常食盐储备数量</w:t>
            </w:r>
          </w:p>
        </w:tc>
        <w:tc>
          <w:tcPr>
            <w:tcW w:w="35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海晶盐业公司日常食盐储备量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488吨</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政策标准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0" w:hRule="atLeast"/>
          <w:jc w:val="center"/>
        </w:trPr>
        <w:tc>
          <w:tcPr>
            <w:tcW w:w="1852"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p>
        </w:tc>
        <w:tc>
          <w:tcPr>
            <w:tcW w:w="20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质量指标</w:t>
            </w:r>
          </w:p>
        </w:tc>
        <w:tc>
          <w:tcPr>
            <w:tcW w:w="23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食盐品质合格率</w:t>
            </w:r>
          </w:p>
        </w:tc>
        <w:tc>
          <w:tcPr>
            <w:tcW w:w="35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达到国家规定标准的食盐合格率</w:t>
            </w:r>
          </w:p>
        </w:tc>
        <w:tc>
          <w:tcPr>
            <w:tcW w:w="1275" w:type="dxa"/>
            <w:tcBorders>
              <w:top w:val="single" w:color="000000" w:sz="6" w:space="0"/>
              <w:left w:val="single" w:color="000000" w:sz="6" w:space="0"/>
              <w:bottom w:val="single" w:color="000000" w:sz="6" w:space="0"/>
              <w:right w:val="single" w:color="000000" w:sz="6" w:space="0"/>
            </w:tcBorders>
            <w:vAlign w:val="bottom"/>
          </w:tcPr>
          <w:p>
            <w:pPr>
              <w:spacing w:line="300" w:lineRule="exact"/>
              <w:jc w:val="center"/>
              <w:rPr>
                <w:rFonts w:hint="eastAsia" w:ascii="方正书宋_GBK" w:eastAsia="方正书宋_GBK"/>
                <w:lang w:val="en-US" w:eastAsia="zh-CN"/>
              </w:rPr>
            </w:pPr>
          </w:p>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100%</w:t>
            </w:r>
          </w:p>
          <w:p>
            <w:pPr>
              <w:spacing w:line="300" w:lineRule="exact"/>
              <w:jc w:val="center"/>
              <w:rPr>
                <w:rFonts w:hint="default" w:ascii="方正书宋_GBK" w:eastAsia="方正书宋_GBK"/>
                <w:lang w:val="en-US" w:eastAsia="zh-CN"/>
              </w:rPr>
            </w:pP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5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20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社会效益指标</w:t>
            </w:r>
          </w:p>
        </w:tc>
        <w:tc>
          <w:tcPr>
            <w:tcW w:w="23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储备食盐应急保障率</w:t>
            </w:r>
          </w:p>
        </w:tc>
        <w:tc>
          <w:tcPr>
            <w:tcW w:w="35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储备食盐实际应急供应量占计划应急供应时量的比率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100%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政策标准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5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0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服务对象满意度指标</w:t>
            </w:r>
          </w:p>
        </w:tc>
        <w:tc>
          <w:tcPr>
            <w:tcW w:w="23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群众满意度</w:t>
            </w:r>
          </w:p>
        </w:tc>
        <w:tc>
          <w:tcPr>
            <w:tcW w:w="35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全市人民使用放心盐满意和较满意的人占调查总人数的比率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lang w:val="en-US" w:eastAsia="zh-CN"/>
              </w:rPr>
              <w:t>≥90%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计划标准</w:t>
            </w:r>
          </w:p>
        </w:tc>
      </w:tr>
    </w:tbl>
    <w:p>
      <w:pPr>
        <w:spacing w:line="300" w:lineRule="exact"/>
        <w:jc w:val="center"/>
        <w:rPr>
          <w:rFonts w:hint="eastAsia" w:ascii="方正书宋_GBK" w:eastAsia="方正书宋_GBK"/>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rPr>
          <w:rFonts w:hint="eastAsia" w:ascii="仿宋" w:hAnsi="仿宋" w:eastAsia="仿宋" w:cs="仿宋"/>
          <w:sz w:val="32"/>
          <w:szCs w:val="32"/>
          <w:lang w:val="en-US" w:eastAsia="zh-CN"/>
        </w:rPr>
      </w:pPr>
      <w:bookmarkStart w:id="2" w:name="_Toc471398468"/>
      <w:r>
        <w:rPr>
          <w:rFonts w:hint="eastAsia" w:ascii="仿宋" w:hAnsi="仿宋" w:eastAsia="仿宋" w:cs="仿宋"/>
          <w:sz w:val="32"/>
          <w:szCs w:val="32"/>
          <w:lang w:val="en-US" w:eastAsia="zh-CN"/>
        </w:rPr>
        <w:t>2020</w:t>
      </w:r>
      <w:r>
        <w:rPr>
          <w:rFonts w:hint="eastAsia" w:ascii="仿宋" w:hAnsi="仿宋" w:eastAsia="仿宋" w:cs="仿宋"/>
          <w:sz w:val="32"/>
          <w:szCs w:val="32"/>
        </w:rPr>
        <w:t>年，我</w:t>
      </w:r>
      <w:r>
        <w:rPr>
          <w:rFonts w:hint="eastAsia" w:ascii="仿宋" w:hAnsi="仿宋" w:eastAsia="仿宋" w:cs="仿宋"/>
          <w:sz w:val="32"/>
          <w:szCs w:val="32"/>
          <w:lang w:val="en-US" w:eastAsia="zh-CN"/>
        </w:rPr>
        <w:t>部门</w:t>
      </w:r>
      <w:r>
        <w:rPr>
          <w:rFonts w:hint="eastAsia" w:ascii="仿宋" w:hAnsi="仿宋" w:eastAsia="仿宋" w:cs="仿宋"/>
          <w:sz w:val="32"/>
          <w:szCs w:val="32"/>
        </w:rPr>
        <w:t>安排政府采购预算</w:t>
      </w:r>
      <w:r>
        <w:rPr>
          <w:rFonts w:hint="eastAsia" w:ascii="仿宋" w:hAnsi="仿宋" w:eastAsia="仿宋" w:cs="仿宋"/>
          <w:sz w:val="32"/>
          <w:szCs w:val="32"/>
          <w:lang w:val="en-US" w:eastAsia="zh-CN"/>
        </w:rPr>
        <w:t>65</w:t>
      </w:r>
      <w:r>
        <w:rPr>
          <w:rFonts w:hint="eastAsia" w:ascii="仿宋" w:hAnsi="仿宋" w:eastAsia="仿宋" w:cs="仿宋"/>
          <w:sz w:val="32"/>
          <w:szCs w:val="32"/>
        </w:rPr>
        <w:t>万元</w:t>
      </w:r>
      <w:r>
        <w:rPr>
          <w:rFonts w:hint="eastAsia" w:ascii="仿宋" w:hAnsi="仿宋" w:eastAsia="仿宋" w:cs="仿宋"/>
          <w:b/>
          <w:bCs/>
          <w:sz w:val="32"/>
          <w:szCs w:val="24"/>
        </w:rPr>
        <w:t>。</w:t>
      </w:r>
      <w:r>
        <w:rPr>
          <w:rFonts w:hint="eastAsia" w:ascii="仿宋" w:hAnsi="仿宋" w:eastAsia="仿宋" w:cs="仿宋"/>
          <w:sz w:val="32"/>
          <w:szCs w:val="32"/>
          <w:lang w:val="en-US" w:eastAsia="zh-CN"/>
        </w:rPr>
        <w:t>具体内容见下表。</w:t>
      </w:r>
    </w:p>
    <w:p>
      <w:pPr>
        <w:jc w:val="center"/>
        <w:outlineLvl w:val="0"/>
        <w:rPr>
          <w:rFonts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部门政府采购预算</w:t>
      </w:r>
      <w:bookmarkEnd w:id="2"/>
    </w:p>
    <w:tbl>
      <w:tblPr>
        <w:tblStyle w:val="7"/>
        <w:tblW w:w="499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87"/>
        <w:gridCol w:w="1068"/>
        <w:gridCol w:w="873"/>
        <w:gridCol w:w="1397"/>
        <w:gridCol w:w="873"/>
        <w:gridCol w:w="873"/>
        <w:gridCol w:w="924"/>
        <w:gridCol w:w="898"/>
        <w:gridCol w:w="898"/>
        <w:gridCol w:w="898"/>
        <w:gridCol w:w="819"/>
        <w:gridCol w:w="881"/>
        <w:gridCol w:w="884"/>
        <w:gridCol w:w="4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963"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default" w:ascii="方正小标宋_GBK" w:hAnsi="Times New Roman" w:eastAsia="方正小标宋_GBK" w:cs="Times New Roman"/>
                <w:sz w:val="24"/>
                <w:szCs w:val="24"/>
                <w:lang w:val="en-US" w:eastAsia="zh-CN"/>
              </w:rPr>
            </w:pPr>
            <w:r>
              <w:rPr>
                <w:rFonts w:hint="eastAsia" w:ascii="方正小标宋_GBK" w:hAnsi="Times New Roman" w:eastAsia="方正小标宋_GBK" w:cs="Times New Roman"/>
                <w:sz w:val="24"/>
                <w:szCs w:val="24"/>
                <w:lang w:val="en-US" w:eastAsia="zh-CN"/>
              </w:rPr>
              <w:t>907霸州市供销社</w:t>
            </w:r>
          </w:p>
        </w:tc>
        <w:tc>
          <w:tcPr>
            <w:tcW w:w="2036"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hAnsi="Times New Roman" w:eastAsia="方正小标宋_GBK" w:cs="Times New Roman"/>
                <w:sz w:val="18"/>
                <w:szCs w:val="18"/>
              </w:rPr>
            </w:pPr>
            <w:r>
              <w:rPr>
                <w:rFonts w:hint="eastAsia" w:ascii="方正小标宋_GBK" w:hAnsi="Times New Roman" w:eastAsia="方正小标宋_GBK" w:cs="Times New Roman"/>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0" w:type="pct"/>
            <w:gridSpan w:val="2"/>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政府采购项目来源</w:t>
            </w:r>
          </w:p>
        </w:tc>
        <w:tc>
          <w:tcPr>
            <w:tcW w:w="308" w:type="pct"/>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采购物品名称</w:t>
            </w:r>
          </w:p>
        </w:tc>
        <w:tc>
          <w:tcPr>
            <w:tcW w:w="493" w:type="pct"/>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政府采购目录序号</w:t>
            </w:r>
          </w:p>
        </w:tc>
        <w:tc>
          <w:tcPr>
            <w:tcW w:w="308" w:type="pct"/>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数量  单位</w:t>
            </w:r>
          </w:p>
        </w:tc>
        <w:tc>
          <w:tcPr>
            <w:tcW w:w="308" w:type="pct"/>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数量</w:t>
            </w:r>
          </w:p>
        </w:tc>
        <w:tc>
          <w:tcPr>
            <w:tcW w:w="323" w:type="pct"/>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单价</w:t>
            </w:r>
          </w:p>
        </w:tc>
        <w:tc>
          <w:tcPr>
            <w:tcW w:w="2036" w:type="pct"/>
            <w:gridSpan w:val="7"/>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43" w:type="pct"/>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项目名称</w:t>
            </w:r>
          </w:p>
        </w:tc>
        <w:tc>
          <w:tcPr>
            <w:tcW w:w="377" w:type="pct"/>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预算资金</w:t>
            </w:r>
          </w:p>
        </w:tc>
        <w:tc>
          <w:tcPr>
            <w:tcW w:w="308" w:type="pct"/>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493" w:type="pct"/>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308" w:type="pct"/>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308" w:type="pct"/>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323" w:type="pct"/>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317" w:type="pct"/>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总计</w:t>
            </w:r>
          </w:p>
        </w:tc>
        <w:tc>
          <w:tcPr>
            <w:tcW w:w="1546" w:type="pct"/>
            <w:gridSpan w:val="5"/>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当年部门预算安排资金</w:t>
            </w:r>
          </w:p>
        </w:tc>
        <w:tc>
          <w:tcPr>
            <w:tcW w:w="173" w:type="pct"/>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43" w:type="pct"/>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377" w:type="pct"/>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308" w:type="pct"/>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493" w:type="pct"/>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308" w:type="pct"/>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308" w:type="pct"/>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323" w:type="pct"/>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317" w:type="pct"/>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317" w:type="pc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合计</w:t>
            </w:r>
          </w:p>
        </w:tc>
        <w:tc>
          <w:tcPr>
            <w:tcW w:w="317" w:type="pc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一般公共预算拨款</w:t>
            </w:r>
          </w:p>
        </w:tc>
        <w:tc>
          <w:tcPr>
            <w:tcW w:w="289" w:type="pc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基金预算拨款</w:t>
            </w:r>
          </w:p>
        </w:tc>
        <w:tc>
          <w:tcPr>
            <w:tcW w:w="311" w:type="pc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财政专户核拨</w:t>
            </w:r>
          </w:p>
        </w:tc>
        <w:tc>
          <w:tcPr>
            <w:tcW w:w="312" w:type="pc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其他来源收入</w:t>
            </w:r>
          </w:p>
        </w:tc>
        <w:tc>
          <w:tcPr>
            <w:tcW w:w="173" w:type="pct"/>
            <w:vMerge w:val="continue"/>
            <w:shd w:val="clear" w:color="auto" w:fill="auto"/>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3" w:type="pc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合　计</w:t>
            </w:r>
          </w:p>
        </w:tc>
        <w:tc>
          <w:tcPr>
            <w:tcW w:w="377" w:type="pct"/>
            <w:shd w:val="clear" w:color="auto" w:fill="auto"/>
            <w:vAlign w:val="center"/>
          </w:tcPr>
          <w:p>
            <w:pPr>
              <w:spacing w:line="300" w:lineRule="exact"/>
              <w:jc w:val="right"/>
              <w:rPr>
                <w:rFonts w:ascii="方正书宋_GBK" w:hAnsi="Times New Roman" w:eastAsia="方正书宋_GBK" w:cs="Times New Roman"/>
                <w:b/>
                <w:szCs w:val="24"/>
              </w:rPr>
            </w:pPr>
          </w:p>
        </w:tc>
        <w:tc>
          <w:tcPr>
            <w:tcW w:w="308" w:type="pct"/>
            <w:shd w:val="clear" w:color="auto" w:fill="auto"/>
            <w:vAlign w:val="center"/>
          </w:tcPr>
          <w:p>
            <w:pPr>
              <w:spacing w:line="300" w:lineRule="exact"/>
              <w:jc w:val="left"/>
              <w:rPr>
                <w:rFonts w:ascii="方正书宋_GBK" w:hAnsi="Times New Roman" w:eastAsia="方正书宋_GBK" w:cs="Times New Roman"/>
                <w:b/>
                <w:szCs w:val="24"/>
              </w:rPr>
            </w:pPr>
          </w:p>
        </w:tc>
        <w:tc>
          <w:tcPr>
            <w:tcW w:w="493" w:type="pct"/>
            <w:shd w:val="clear" w:color="auto" w:fill="auto"/>
            <w:vAlign w:val="center"/>
          </w:tcPr>
          <w:p>
            <w:pPr>
              <w:spacing w:line="300" w:lineRule="exact"/>
              <w:jc w:val="left"/>
              <w:rPr>
                <w:rFonts w:ascii="方正书宋_GBK" w:hAnsi="Times New Roman" w:eastAsia="方正书宋_GBK" w:cs="Times New Roman"/>
                <w:b/>
                <w:szCs w:val="24"/>
              </w:rPr>
            </w:pPr>
          </w:p>
        </w:tc>
        <w:tc>
          <w:tcPr>
            <w:tcW w:w="308" w:type="pct"/>
            <w:shd w:val="clear" w:color="auto" w:fill="auto"/>
            <w:vAlign w:val="center"/>
          </w:tcPr>
          <w:p>
            <w:pPr>
              <w:spacing w:line="300" w:lineRule="exact"/>
              <w:jc w:val="left"/>
              <w:rPr>
                <w:rFonts w:ascii="方正书宋_GBK" w:hAnsi="Times New Roman" w:eastAsia="方正书宋_GBK" w:cs="Times New Roman"/>
                <w:b/>
                <w:szCs w:val="24"/>
              </w:rPr>
            </w:pPr>
          </w:p>
        </w:tc>
        <w:tc>
          <w:tcPr>
            <w:tcW w:w="308" w:type="pct"/>
            <w:shd w:val="clear" w:color="auto" w:fill="auto"/>
            <w:vAlign w:val="center"/>
          </w:tcPr>
          <w:p>
            <w:pPr>
              <w:spacing w:line="300" w:lineRule="exact"/>
              <w:jc w:val="right"/>
              <w:rPr>
                <w:rFonts w:ascii="方正书宋_GBK" w:hAnsi="Times New Roman" w:eastAsia="方正书宋_GBK" w:cs="Times New Roman"/>
                <w:b/>
                <w:szCs w:val="24"/>
              </w:rPr>
            </w:pPr>
          </w:p>
        </w:tc>
        <w:tc>
          <w:tcPr>
            <w:tcW w:w="323" w:type="pct"/>
            <w:shd w:val="clear" w:color="auto" w:fill="auto"/>
            <w:vAlign w:val="center"/>
          </w:tcPr>
          <w:p>
            <w:pPr>
              <w:spacing w:line="300" w:lineRule="exact"/>
              <w:jc w:val="right"/>
              <w:rPr>
                <w:rFonts w:ascii="方正书宋_GBK" w:hAnsi="Times New Roman" w:eastAsia="方正书宋_GBK" w:cs="Times New Roman"/>
                <w:b/>
                <w:szCs w:val="24"/>
              </w:rPr>
            </w:pPr>
          </w:p>
        </w:tc>
        <w:tc>
          <w:tcPr>
            <w:tcW w:w="317" w:type="pct"/>
            <w:shd w:val="clear" w:color="auto" w:fill="auto"/>
            <w:vAlign w:val="center"/>
          </w:tcPr>
          <w:p>
            <w:pPr>
              <w:spacing w:line="300" w:lineRule="exact"/>
              <w:jc w:val="right"/>
              <w:rPr>
                <w:rFonts w:ascii="方正书宋_GBK" w:hAnsi="Times New Roman" w:eastAsia="方正书宋_GBK" w:cs="Times New Roman"/>
                <w:b/>
                <w:szCs w:val="24"/>
              </w:rPr>
            </w:pPr>
          </w:p>
        </w:tc>
        <w:tc>
          <w:tcPr>
            <w:tcW w:w="317" w:type="pct"/>
            <w:shd w:val="clear" w:color="auto" w:fill="auto"/>
            <w:vAlign w:val="center"/>
          </w:tcPr>
          <w:p>
            <w:pPr>
              <w:spacing w:line="300" w:lineRule="exact"/>
              <w:jc w:val="right"/>
              <w:rPr>
                <w:rFonts w:ascii="方正书宋_GBK" w:eastAsia="方正书宋_GBK" w:hAnsiTheme="minorHAnsi" w:cstheme="minorBidi"/>
                <w:kern w:val="2"/>
                <w:sz w:val="21"/>
                <w:szCs w:val="22"/>
                <w:lang w:val="en-US" w:eastAsia="zh-CN" w:bidi="ar-SA"/>
              </w:rPr>
            </w:pPr>
            <w:r>
              <w:rPr>
                <w:rFonts w:hint="eastAsia" w:ascii="方正书宋_GBK" w:eastAsia="方正书宋_GBK"/>
                <w:lang w:val="en-US" w:eastAsia="zh-CN"/>
              </w:rPr>
              <w:t>65</w:t>
            </w:r>
            <w:r>
              <w:rPr>
                <w:rFonts w:ascii="方正书宋_GBK" w:eastAsia="方正书宋_GBK"/>
              </w:rPr>
              <w:t>.00</w:t>
            </w:r>
          </w:p>
        </w:tc>
        <w:tc>
          <w:tcPr>
            <w:tcW w:w="317" w:type="pct"/>
            <w:shd w:val="clear" w:color="auto" w:fill="auto"/>
            <w:vAlign w:val="center"/>
          </w:tcPr>
          <w:p>
            <w:pPr>
              <w:spacing w:line="300" w:lineRule="exact"/>
              <w:jc w:val="right"/>
              <w:rPr>
                <w:rFonts w:ascii="方正书宋_GBK" w:eastAsia="方正书宋_GBK" w:hAnsiTheme="minorHAnsi" w:cstheme="minorBidi"/>
                <w:kern w:val="2"/>
                <w:sz w:val="21"/>
                <w:szCs w:val="22"/>
                <w:lang w:val="en-US" w:eastAsia="zh-CN" w:bidi="ar-SA"/>
              </w:rPr>
            </w:pPr>
            <w:r>
              <w:rPr>
                <w:rFonts w:hint="eastAsia" w:ascii="方正书宋_GBK" w:eastAsia="方正书宋_GBK"/>
                <w:lang w:val="en-US" w:eastAsia="zh-CN"/>
              </w:rPr>
              <w:t>65</w:t>
            </w:r>
            <w:r>
              <w:rPr>
                <w:rFonts w:ascii="方正书宋_GBK" w:eastAsia="方正书宋_GBK"/>
              </w:rPr>
              <w:t>.00</w:t>
            </w:r>
          </w:p>
        </w:tc>
        <w:tc>
          <w:tcPr>
            <w:tcW w:w="289" w:type="pct"/>
            <w:shd w:val="clear" w:color="auto" w:fill="auto"/>
            <w:vAlign w:val="center"/>
          </w:tcPr>
          <w:p>
            <w:pPr>
              <w:spacing w:line="300" w:lineRule="exact"/>
              <w:jc w:val="right"/>
              <w:rPr>
                <w:rFonts w:ascii="方正书宋_GBK" w:hAnsi="Times New Roman" w:eastAsia="方正书宋_GBK" w:cs="Times New Roman"/>
                <w:b/>
                <w:szCs w:val="24"/>
              </w:rPr>
            </w:pPr>
          </w:p>
        </w:tc>
        <w:tc>
          <w:tcPr>
            <w:tcW w:w="311" w:type="pct"/>
            <w:shd w:val="clear" w:color="auto" w:fill="auto"/>
            <w:vAlign w:val="center"/>
          </w:tcPr>
          <w:p>
            <w:pPr>
              <w:spacing w:line="300" w:lineRule="exact"/>
              <w:jc w:val="right"/>
              <w:rPr>
                <w:rFonts w:ascii="方正书宋_GBK" w:hAnsi="Times New Roman" w:eastAsia="方正书宋_GBK" w:cs="Times New Roman"/>
                <w:b/>
                <w:szCs w:val="24"/>
              </w:rPr>
            </w:pPr>
          </w:p>
        </w:tc>
        <w:tc>
          <w:tcPr>
            <w:tcW w:w="312" w:type="pct"/>
            <w:shd w:val="clear" w:color="auto" w:fill="auto"/>
            <w:vAlign w:val="center"/>
          </w:tcPr>
          <w:p>
            <w:pPr>
              <w:spacing w:line="300" w:lineRule="exact"/>
              <w:jc w:val="right"/>
              <w:rPr>
                <w:rFonts w:ascii="方正书宋_GBK" w:hAnsi="Times New Roman" w:eastAsia="方正书宋_GBK" w:cs="Times New Roman"/>
                <w:b/>
                <w:szCs w:val="24"/>
              </w:rPr>
            </w:pPr>
          </w:p>
        </w:tc>
        <w:tc>
          <w:tcPr>
            <w:tcW w:w="173" w:type="pct"/>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3" w:type="pct"/>
            <w:shd w:val="clear" w:color="auto" w:fill="auto"/>
            <w:vAlign w:val="center"/>
          </w:tcPr>
          <w:p>
            <w:pPr>
              <w:spacing w:line="300" w:lineRule="exact"/>
              <w:ind w:left="630" w:hanging="630" w:hangingChars="300"/>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霸州市农村产权交易中心</w:t>
            </w:r>
            <w:r>
              <w:rPr>
                <w:rFonts w:hint="eastAsia" w:ascii="方正书宋_GBK" w:eastAsia="方正书宋_GBK"/>
                <w:lang w:val="en-US" w:eastAsia="zh-CN"/>
              </w:rPr>
              <w:t>经</w:t>
            </w:r>
            <w:r>
              <w:rPr>
                <w:rFonts w:hint="eastAsia" w:ascii="方正书宋_GBK" w:eastAsia="方正书宋_GBK"/>
              </w:rPr>
              <w:t>费</w:t>
            </w:r>
          </w:p>
        </w:tc>
        <w:tc>
          <w:tcPr>
            <w:tcW w:w="377" w:type="pct"/>
            <w:shd w:val="clear" w:color="auto" w:fill="auto"/>
            <w:vAlign w:val="center"/>
          </w:tcPr>
          <w:p>
            <w:pPr>
              <w:spacing w:line="300" w:lineRule="exact"/>
              <w:jc w:val="right"/>
              <w:rPr>
                <w:rFonts w:ascii="方正书宋_GBK" w:eastAsia="方正书宋_GBK" w:hAnsiTheme="minorHAnsi" w:cstheme="minorBidi"/>
                <w:kern w:val="2"/>
                <w:sz w:val="21"/>
                <w:szCs w:val="22"/>
                <w:lang w:val="en-US" w:eastAsia="zh-CN" w:bidi="ar-SA"/>
              </w:rPr>
            </w:pPr>
            <w:r>
              <w:rPr>
                <w:rFonts w:hint="eastAsia" w:ascii="方正书宋_GBK" w:eastAsia="方正书宋_GBK"/>
                <w:lang w:val="en-US" w:eastAsia="zh-CN"/>
              </w:rPr>
              <w:t>65</w:t>
            </w:r>
            <w:r>
              <w:rPr>
                <w:rFonts w:ascii="方正书宋_GBK" w:eastAsia="方正书宋_GBK"/>
              </w:rPr>
              <w:t>.00</w:t>
            </w:r>
          </w:p>
        </w:tc>
        <w:tc>
          <w:tcPr>
            <w:tcW w:w="308" w:type="pct"/>
            <w:shd w:val="clear" w:color="auto" w:fill="auto"/>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lang w:val="en-US" w:eastAsia="zh-CN"/>
              </w:rPr>
              <w:t>其他运营</w:t>
            </w:r>
            <w:r>
              <w:rPr>
                <w:rFonts w:hint="eastAsia" w:ascii="方正书宋_GBK" w:eastAsia="方正书宋_GBK"/>
              </w:rPr>
              <w:t>服务</w:t>
            </w:r>
          </w:p>
        </w:tc>
        <w:tc>
          <w:tcPr>
            <w:tcW w:w="493" w:type="pct"/>
            <w:shd w:val="clear" w:color="auto" w:fill="auto"/>
            <w:vAlign w:val="center"/>
          </w:tcPr>
          <w:p>
            <w:pPr>
              <w:spacing w:line="300" w:lineRule="exact"/>
              <w:jc w:val="left"/>
              <w:rPr>
                <w:rFonts w:hint="default" w:ascii="方正书宋_GBK" w:eastAsia="方正书宋_GBK" w:hAnsiTheme="minorHAnsi" w:cstheme="minorBidi"/>
                <w:kern w:val="2"/>
                <w:sz w:val="21"/>
                <w:szCs w:val="22"/>
                <w:lang w:val="en-US" w:eastAsia="zh-CN" w:bidi="ar-SA"/>
              </w:rPr>
            </w:pPr>
            <w:r>
              <w:rPr>
                <w:rFonts w:hint="eastAsia" w:ascii="方正书宋_GBK" w:eastAsia="方正书宋_GBK" w:cstheme="minorBidi"/>
                <w:kern w:val="2"/>
                <w:sz w:val="21"/>
                <w:szCs w:val="22"/>
                <w:lang w:val="en-US" w:eastAsia="zh-CN" w:bidi="ar-SA"/>
              </w:rPr>
              <w:t>C020799</w:t>
            </w:r>
          </w:p>
        </w:tc>
        <w:tc>
          <w:tcPr>
            <w:tcW w:w="308" w:type="pct"/>
            <w:shd w:val="clear" w:color="auto" w:fill="auto"/>
            <w:vAlign w:val="center"/>
          </w:tcPr>
          <w:p>
            <w:pPr>
              <w:spacing w:line="300" w:lineRule="exact"/>
              <w:jc w:val="left"/>
              <w:rPr>
                <w:rFonts w:hint="default" w:ascii="方正书宋_GBK" w:eastAsia="方正书宋_GBK" w:hAnsiTheme="minorHAnsi" w:cstheme="minorBidi"/>
                <w:kern w:val="2"/>
                <w:sz w:val="21"/>
                <w:szCs w:val="22"/>
                <w:lang w:val="en-US" w:eastAsia="zh-CN" w:bidi="ar-SA"/>
              </w:rPr>
            </w:pPr>
          </w:p>
        </w:tc>
        <w:tc>
          <w:tcPr>
            <w:tcW w:w="308" w:type="pct"/>
            <w:shd w:val="clear" w:color="auto" w:fill="auto"/>
            <w:vAlign w:val="center"/>
          </w:tcPr>
          <w:p>
            <w:pPr>
              <w:spacing w:line="300" w:lineRule="exact"/>
              <w:jc w:val="right"/>
              <w:rPr>
                <w:rFonts w:ascii="方正书宋_GBK" w:eastAsia="方正书宋_GBK" w:hAnsiTheme="minorHAnsi" w:cstheme="minorBidi"/>
                <w:kern w:val="2"/>
                <w:sz w:val="21"/>
                <w:szCs w:val="22"/>
                <w:lang w:val="en-US" w:eastAsia="zh-CN" w:bidi="ar-SA"/>
              </w:rPr>
            </w:pPr>
            <w:r>
              <w:rPr>
                <w:rFonts w:ascii="方正书宋_GBK" w:eastAsia="方正书宋_GBK"/>
              </w:rPr>
              <w:t>1.00</w:t>
            </w:r>
          </w:p>
        </w:tc>
        <w:tc>
          <w:tcPr>
            <w:tcW w:w="323" w:type="pct"/>
            <w:shd w:val="clear" w:color="auto" w:fill="auto"/>
            <w:vAlign w:val="center"/>
          </w:tcPr>
          <w:p>
            <w:pPr>
              <w:spacing w:line="300" w:lineRule="exact"/>
              <w:jc w:val="right"/>
              <w:rPr>
                <w:rFonts w:ascii="方正书宋_GBK" w:eastAsia="方正书宋_GBK" w:hAnsiTheme="minorHAnsi" w:cstheme="minorBidi"/>
                <w:kern w:val="2"/>
                <w:sz w:val="21"/>
                <w:szCs w:val="22"/>
                <w:lang w:val="en-US" w:eastAsia="zh-CN" w:bidi="ar-SA"/>
              </w:rPr>
            </w:pPr>
            <w:r>
              <w:rPr>
                <w:rFonts w:hint="eastAsia" w:ascii="方正书宋_GBK" w:eastAsia="方正书宋_GBK"/>
                <w:lang w:val="en-US" w:eastAsia="zh-CN"/>
              </w:rPr>
              <w:t>65</w:t>
            </w:r>
            <w:r>
              <w:rPr>
                <w:rFonts w:ascii="方正书宋_GBK" w:eastAsia="方正书宋_GBK"/>
              </w:rPr>
              <w:t>.00</w:t>
            </w:r>
          </w:p>
        </w:tc>
        <w:tc>
          <w:tcPr>
            <w:tcW w:w="317" w:type="pct"/>
            <w:shd w:val="clear" w:color="auto" w:fill="auto"/>
            <w:vAlign w:val="center"/>
          </w:tcPr>
          <w:p>
            <w:pPr>
              <w:spacing w:line="300" w:lineRule="exact"/>
              <w:jc w:val="right"/>
              <w:rPr>
                <w:rFonts w:ascii="方正书宋_GBK" w:eastAsia="方正书宋_GBK" w:hAnsiTheme="minorHAnsi" w:cstheme="minorBidi"/>
                <w:kern w:val="2"/>
                <w:sz w:val="21"/>
                <w:szCs w:val="22"/>
                <w:lang w:val="en-US" w:eastAsia="zh-CN" w:bidi="ar-SA"/>
              </w:rPr>
            </w:pPr>
            <w:r>
              <w:rPr>
                <w:rFonts w:hint="eastAsia" w:ascii="方正书宋_GBK" w:eastAsia="方正书宋_GBK"/>
                <w:lang w:val="en-US" w:eastAsia="zh-CN"/>
              </w:rPr>
              <w:t>65</w:t>
            </w:r>
            <w:r>
              <w:rPr>
                <w:rFonts w:ascii="方正书宋_GBK" w:eastAsia="方正书宋_GBK"/>
              </w:rPr>
              <w:t>.00</w:t>
            </w:r>
          </w:p>
        </w:tc>
        <w:tc>
          <w:tcPr>
            <w:tcW w:w="317" w:type="pct"/>
            <w:shd w:val="clear" w:color="auto" w:fill="auto"/>
            <w:vAlign w:val="center"/>
          </w:tcPr>
          <w:p>
            <w:pPr>
              <w:spacing w:line="300" w:lineRule="exact"/>
              <w:jc w:val="right"/>
              <w:rPr>
                <w:rFonts w:ascii="方正书宋_GBK" w:eastAsia="方正书宋_GBK" w:hAnsiTheme="minorHAnsi" w:cstheme="minorBidi"/>
                <w:kern w:val="2"/>
                <w:sz w:val="21"/>
                <w:szCs w:val="22"/>
                <w:lang w:val="en-US" w:eastAsia="zh-CN" w:bidi="ar-SA"/>
              </w:rPr>
            </w:pPr>
            <w:r>
              <w:rPr>
                <w:rFonts w:hint="eastAsia" w:ascii="方正书宋_GBK" w:eastAsia="方正书宋_GBK"/>
                <w:lang w:val="en-US" w:eastAsia="zh-CN"/>
              </w:rPr>
              <w:t>65</w:t>
            </w:r>
            <w:r>
              <w:rPr>
                <w:rFonts w:ascii="方正书宋_GBK" w:eastAsia="方正书宋_GBK"/>
              </w:rPr>
              <w:t>.00</w:t>
            </w:r>
          </w:p>
        </w:tc>
        <w:tc>
          <w:tcPr>
            <w:tcW w:w="317" w:type="pct"/>
            <w:shd w:val="clear" w:color="auto" w:fill="auto"/>
            <w:vAlign w:val="center"/>
          </w:tcPr>
          <w:p>
            <w:pPr>
              <w:spacing w:line="300" w:lineRule="exact"/>
              <w:jc w:val="right"/>
              <w:rPr>
                <w:rFonts w:ascii="方正书宋_GBK" w:eastAsia="方正书宋_GBK" w:hAnsiTheme="minorHAnsi" w:cstheme="minorBidi"/>
                <w:kern w:val="2"/>
                <w:sz w:val="21"/>
                <w:szCs w:val="22"/>
                <w:lang w:val="en-US" w:eastAsia="zh-CN" w:bidi="ar-SA"/>
              </w:rPr>
            </w:pPr>
            <w:r>
              <w:rPr>
                <w:rFonts w:hint="eastAsia" w:ascii="方正书宋_GBK" w:eastAsia="方正书宋_GBK"/>
                <w:lang w:val="en-US" w:eastAsia="zh-CN"/>
              </w:rPr>
              <w:t>65</w:t>
            </w:r>
            <w:r>
              <w:rPr>
                <w:rFonts w:ascii="方正书宋_GBK" w:eastAsia="方正书宋_GBK"/>
              </w:rPr>
              <w:t>.00</w:t>
            </w:r>
          </w:p>
        </w:tc>
        <w:tc>
          <w:tcPr>
            <w:tcW w:w="289" w:type="pct"/>
            <w:shd w:val="clear" w:color="auto" w:fill="auto"/>
            <w:vAlign w:val="center"/>
          </w:tcPr>
          <w:p>
            <w:pPr>
              <w:spacing w:line="300" w:lineRule="exact"/>
              <w:jc w:val="right"/>
              <w:rPr>
                <w:rFonts w:ascii="方正书宋_GBK" w:hAnsi="Times New Roman" w:eastAsia="方正书宋_GBK" w:cs="Times New Roman"/>
                <w:b/>
                <w:szCs w:val="24"/>
              </w:rPr>
            </w:pPr>
          </w:p>
        </w:tc>
        <w:tc>
          <w:tcPr>
            <w:tcW w:w="311" w:type="pct"/>
            <w:shd w:val="clear" w:color="auto" w:fill="auto"/>
            <w:vAlign w:val="center"/>
          </w:tcPr>
          <w:p>
            <w:pPr>
              <w:spacing w:line="300" w:lineRule="exact"/>
              <w:jc w:val="right"/>
              <w:rPr>
                <w:rFonts w:ascii="方正书宋_GBK" w:hAnsi="Times New Roman" w:eastAsia="方正书宋_GBK" w:cs="Times New Roman"/>
                <w:b/>
                <w:szCs w:val="24"/>
              </w:rPr>
            </w:pPr>
          </w:p>
        </w:tc>
        <w:tc>
          <w:tcPr>
            <w:tcW w:w="312" w:type="pct"/>
            <w:shd w:val="clear" w:color="auto" w:fill="auto"/>
            <w:vAlign w:val="center"/>
          </w:tcPr>
          <w:p>
            <w:pPr>
              <w:spacing w:line="300" w:lineRule="exact"/>
              <w:jc w:val="right"/>
              <w:rPr>
                <w:rFonts w:ascii="方正书宋_GBK" w:hAnsi="Times New Roman" w:eastAsia="方正书宋_GBK" w:cs="Times New Roman"/>
                <w:b/>
                <w:szCs w:val="24"/>
              </w:rPr>
            </w:pPr>
          </w:p>
        </w:tc>
        <w:tc>
          <w:tcPr>
            <w:tcW w:w="173" w:type="pct"/>
            <w:shd w:val="clear" w:color="auto" w:fill="auto"/>
            <w:vAlign w:val="center"/>
          </w:tcPr>
          <w:p>
            <w:pPr>
              <w:spacing w:line="300" w:lineRule="exact"/>
              <w:jc w:val="right"/>
              <w:rPr>
                <w:rFonts w:ascii="方正书宋_GBK" w:hAnsi="Times New Roman" w:eastAsia="方正书宋_GBK" w:cs="Times New Roman"/>
                <w:b/>
                <w:szCs w:val="24"/>
              </w:rPr>
            </w:pP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ascii="仿宋_GB2312" w:hAnsi="Times New Roman" w:eastAsia="仿宋_GB2312" w:cs="Times New Roman"/>
          <w:color w:val="000000" w:themeColor="text1"/>
          <w:sz w:val="32"/>
          <w:szCs w:val="32"/>
        </w:rPr>
      </w:pPr>
      <w:r>
        <w:rPr>
          <w:rFonts w:hint="eastAsia" w:ascii="仿宋_GB2312" w:hAnsi="黑体" w:eastAsia="仿宋_GB2312" w:cs="Times New Roman"/>
          <w:sz w:val="32"/>
          <w:szCs w:val="32"/>
        </w:rPr>
        <w:t>霸州市</w:t>
      </w:r>
      <w:r>
        <w:rPr>
          <w:rFonts w:hint="eastAsia" w:ascii="仿宋_GB2312" w:hAnsi="黑体" w:eastAsia="仿宋_GB2312" w:cs="Times New Roman"/>
          <w:sz w:val="32"/>
          <w:szCs w:val="32"/>
          <w:lang w:val="en-US" w:eastAsia="zh-CN"/>
        </w:rPr>
        <w:t>供销合作社</w:t>
      </w:r>
      <w:r>
        <w:rPr>
          <w:rFonts w:hint="eastAsia" w:ascii="仿宋_GB2312" w:hAnsi="黑体" w:eastAsia="仿宋_GB2312" w:cs="Times New Roman"/>
          <w:sz w:val="32"/>
          <w:szCs w:val="32"/>
        </w:rPr>
        <w:t>（含所属单位）上年末固定资产金额为</w:t>
      </w:r>
      <w:r>
        <w:rPr>
          <w:rFonts w:hint="eastAsia" w:ascii="仿宋_GB2312" w:hAnsi="黑体" w:eastAsia="仿宋_GB2312" w:cs="Times New Roman"/>
          <w:sz w:val="32"/>
          <w:szCs w:val="32"/>
          <w:lang w:val="en-US" w:eastAsia="zh-CN"/>
        </w:rPr>
        <w:t>0</w:t>
      </w:r>
      <w:r>
        <w:rPr>
          <w:rFonts w:hint="eastAsia" w:ascii="仿宋_GB2312" w:hAnsi="黑体" w:eastAsia="仿宋_GB2312" w:cs="Times New Roman"/>
          <w:sz w:val="32"/>
          <w:szCs w:val="32"/>
        </w:rPr>
        <w:t>万元（详见下表）。</w:t>
      </w:r>
      <w:r>
        <w:rPr>
          <w:rFonts w:hint="eastAsia" w:ascii="仿宋_GB2312" w:hAnsi="黑体" w:eastAsia="仿宋_GB2312" w:cs="Times New Roman"/>
          <w:sz w:val="32"/>
          <w:szCs w:val="32"/>
          <w:lang w:val="en-US" w:eastAsia="zh-CN"/>
        </w:rPr>
        <w:t>本年度我</w:t>
      </w:r>
      <w:r>
        <w:rPr>
          <w:rFonts w:hint="eastAsia" w:ascii="仿宋" w:hAnsi="仿宋" w:eastAsia="仿宋" w:cs="仿宋"/>
          <w:sz w:val="32"/>
          <w:szCs w:val="32"/>
        </w:rPr>
        <w:t>部门无新增固定资产计划。</w:t>
      </w:r>
    </w:p>
    <w:tbl>
      <w:tblPr>
        <w:tblStyle w:val="7"/>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霸州市</w:t>
            </w:r>
            <w:r>
              <w:rPr>
                <w:rFonts w:hint="eastAsia" w:ascii="宋体" w:hAnsi="宋体" w:eastAsia="宋体" w:cs="宋体"/>
                <w:b/>
                <w:bCs/>
                <w:kern w:val="0"/>
                <w:sz w:val="32"/>
                <w:szCs w:val="32"/>
                <w:lang w:val="en-US" w:eastAsia="zh-CN"/>
              </w:rPr>
              <w:t>供销社</w:t>
            </w:r>
            <w:r>
              <w:rPr>
                <w:rFonts w:hint="eastAsia" w:ascii="宋体" w:hAnsi="宋体" w:eastAsia="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hint="default" w:ascii="宋体" w:hAnsi="宋体" w:eastAsia="宋体" w:cs="宋体"/>
                <w:kern w:val="0"/>
                <w:sz w:val="22"/>
                <w:lang w:val="en-US" w:eastAsia="zh-CN"/>
              </w:rPr>
            </w:pPr>
            <w:r>
              <w:rPr>
                <w:rFonts w:hint="eastAsia" w:ascii="宋体" w:hAnsi="宋体" w:eastAsia="宋体" w:cs="宋体"/>
                <w:kern w:val="0"/>
                <w:sz w:val="22"/>
              </w:rPr>
              <w:t>编制部门：</w:t>
            </w:r>
            <w:r>
              <w:rPr>
                <w:rFonts w:hint="eastAsia" w:ascii="宋体" w:hAnsi="宋体" w:eastAsia="宋体" w:cs="宋体"/>
                <w:kern w:val="0"/>
                <w:sz w:val="22"/>
                <w:lang w:val="en-US" w:eastAsia="zh-CN"/>
              </w:rPr>
              <w:t>907霸州市供销社</w:t>
            </w:r>
          </w:p>
        </w:tc>
        <w:tc>
          <w:tcPr>
            <w:tcW w:w="5103" w:type="dxa"/>
            <w:tcBorders>
              <w:top w:val="nil"/>
              <w:left w:val="nil"/>
              <w:bottom w:val="nil"/>
              <w:right w:val="nil"/>
            </w:tcBorders>
            <w:shd w:val="clear" w:color="auto" w:fill="auto"/>
            <w:noWrap/>
            <w:vAlign w:val="center"/>
          </w:tcPr>
          <w:p>
            <w:pPr>
              <w:widowControl/>
              <w:ind w:firstLine="1650" w:firstLineChars="750"/>
              <w:jc w:val="left"/>
              <w:rPr>
                <w:rFonts w:ascii="宋体" w:hAnsi="宋体" w:eastAsia="宋体" w:cs="宋体"/>
                <w:kern w:val="0"/>
                <w:sz w:val="22"/>
              </w:rPr>
            </w:pPr>
            <w:r>
              <w:rPr>
                <w:rFonts w:hint="eastAsia" w:ascii="宋体" w:hAnsi="宋体" w:eastAsia="宋体" w:cs="宋体"/>
                <w:kern w:val="0"/>
                <w:sz w:val="22"/>
              </w:rPr>
              <w:t>截止时间：201</w:t>
            </w:r>
            <w:r>
              <w:rPr>
                <w:rFonts w:ascii="宋体" w:hAnsi="宋体" w:eastAsia="宋体" w:cs="宋体"/>
                <w:kern w:val="0"/>
                <w:sz w:val="22"/>
              </w:rPr>
              <w:t>9</w:t>
            </w:r>
            <w:r>
              <w:rPr>
                <w:rFonts w:hint="eastAsia" w:ascii="宋体" w:hAnsi="宋体" w:eastAsia="宋体" w:cs="宋体"/>
                <w:kern w:val="0"/>
                <w:sz w:val="22"/>
              </w:rPr>
              <w:t xml:space="preserve">年12月31日  </w:t>
            </w:r>
          </w:p>
        </w:tc>
      </w:tr>
      <w:tr>
        <w:tblPrEx>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八、名词解释</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w:t>
      </w:r>
      <w:r>
        <w:rPr>
          <w:rFonts w:ascii="仿宋_GB2312" w:hAnsi="黑体" w:eastAsia="仿宋_GB2312" w:cs="Times New Roman"/>
          <w:sz w:val="32"/>
          <w:szCs w:val="32"/>
        </w:rPr>
        <w:t xml:space="preserve">   </w:t>
      </w:r>
      <w:r>
        <w:rPr>
          <w:rFonts w:hint="eastAsia" w:ascii="仿宋_GB2312" w:hAnsi="黑体" w:eastAsia="仿宋_GB2312" w:cs="Times New Roman"/>
          <w:sz w:val="32"/>
          <w:szCs w:val="32"/>
        </w:rPr>
        <w:t>1、一般公共预算拨款收入：指市级财政当年拨付的资金。</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2、事业收入：指事业单位开展专业业务活动及辅助活动所取得的收入。</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3、其他收入：指除上述“财政拨款收入”、“事业收入”等以外的收入。主要是按规定动用的租房收入、存款利息收入等。</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4、基本支出：指为保障机构正常运转、完成日常工作任务而发生的人员支出和公用支出。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5、项目支出：指在基本支出之外为完成特定行政任务和事业发展目标所发生的支出。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6、上缴上级支出：指下级单位上缴上级的支出。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无其他需要说明的事</w:t>
      </w:r>
      <w:r>
        <w:rPr>
          <w:rFonts w:hint="eastAsia" w:ascii="仿宋_GB2312" w:hAnsi="黑体" w:eastAsia="仿宋_GB2312" w:cs="Times New Roman"/>
          <w:sz w:val="32"/>
          <w:szCs w:val="32"/>
          <w:lang w:val="en-US" w:eastAsia="zh-CN"/>
        </w:rPr>
        <w:t>项</w:t>
      </w:r>
      <w:r>
        <w:rPr>
          <w:rFonts w:hint="eastAsia" w:ascii="仿宋_GB2312" w:hAnsi="黑体" w:eastAsia="仿宋_GB2312" w:cs="Times New Roman"/>
          <w:sz w:val="32"/>
          <w:szCs w:val="32"/>
        </w:rPr>
        <w:t>。</w:t>
      </w:r>
      <w:bookmarkStart w:id="3" w:name="_GoBack"/>
      <w:bookmarkEnd w:id="3"/>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459013"/>
      <w:docPartObj>
        <w:docPartGallery w:val="autotext"/>
      </w:docPartObj>
    </w:sdtPr>
    <w:sdtContent>
      <w:p>
        <w:pPr>
          <w:pStyle w:val="3"/>
          <w:jc w:val="center"/>
        </w:pPr>
        <w:r>
          <w:rPr>
            <w:sz w:val="28"/>
          </w:rPr>
          <w:fldChar w:fldCharType="begin"/>
        </w:r>
        <w:r>
          <w:rPr>
            <w:sz w:val="28"/>
          </w:rPr>
          <w:instrText xml:space="preserve">PAGE   \* MERGEFORMAT</w:instrText>
        </w:r>
        <w:r>
          <w:rPr>
            <w:sz w:val="28"/>
          </w:rPr>
          <w:fldChar w:fldCharType="separate"/>
        </w:r>
        <w:r>
          <w:rPr>
            <w:sz w:val="28"/>
            <w:lang w:val="zh-CN"/>
          </w:rPr>
          <w:t>6</w:t>
        </w:r>
        <w:r>
          <w:rPr>
            <w:sz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B66AEF"/>
    <w:multiLevelType w:val="singleLevel"/>
    <w:tmpl w:val="97B66AEF"/>
    <w:lvl w:ilvl="0" w:tentative="0">
      <w:start w:val="2"/>
      <w:numFmt w:val="chineseCounting"/>
      <w:suff w:val="space"/>
      <w:lvlText w:val="第%1部分"/>
      <w:lvlJc w:val="left"/>
      <w:rPr>
        <w:rFonts w:hint="eastAsia"/>
      </w:rPr>
    </w:lvl>
  </w:abstractNum>
  <w:abstractNum w:abstractNumId="1">
    <w:nsid w:val="D4D8D5BA"/>
    <w:multiLevelType w:val="singleLevel"/>
    <w:tmpl w:val="D4D8D5BA"/>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66032"/>
    <w:rsid w:val="000009C0"/>
    <w:rsid w:val="0000145B"/>
    <w:rsid w:val="00001F5C"/>
    <w:rsid w:val="000027F2"/>
    <w:rsid w:val="00012028"/>
    <w:rsid w:val="00012D1C"/>
    <w:rsid w:val="000130DD"/>
    <w:rsid w:val="00014281"/>
    <w:rsid w:val="0001689E"/>
    <w:rsid w:val="000218E9"/>
    <w:rsid w:val="00023314"/>
    <w:rsid w:val="0003121A"/>
    <w:rsid w:val="0003472C"/>
    <w:rsid w:val="00037AF6"/>
    <w:rsid w:val="00044DC9"/>
    <w:rsid w:val="00045A61"/>
    <w:rsid w:val="00054879"/>
    <w:rsid w:val="00055D09"/>
    <w:rsid w:val="0006250F"/>
    <w:rsid w:val="000643A0"/>
    <w:rsid w:val="00067117"/>
    <w:rsid w:val="00072071"/>
    <w:rsid w:val="00075D5F"/>
    <w:rsid w:val="000806AF"/>
    <w:rsid w:val="00083592"/>
    <w:rsid w:val="000920C0"/>
    <w:rsid w:val="00095025"/>
    <w:rsid w:val="00096423"/>
    <w:rsid w:val="000B3081"/>
    <w:rsid w:val="000B4837"/>
    <w:rsid w:val="000B6A65"/>
    <w:rsid w:val="000B70F7"/>
    <w:rsid w:val="000C2333"/>
    <w:rsid w:val="000C3A19"/>
    <w:rsid w:val="000C3F84"/>
    <w:rsid w:val="000D08C1"/>
    <w:rsid w:val="000D1089"/>
    <w:rsid w:val="000D740D"/>
    <w:rsid w:val="000E08FE"/>
    <w:rsid w:val="000F0279"/>
    <w:rsid w:val="0010082C"/>
    <w:rsid w:val="00107EBE"/>
    <w:rsid w:val="00111EFF"/>
    <w:rsid w:val="001132BF"/>
    <w:rsid w:val="001174B3"/>
    <w:rsid w:val="00122CA5"/>
    <w:rsid w:val="001245BB"/>
    <w:rsid w:val="00126262"/>
    <w:rsid w:val="001353FD"/>
    <w:rsid w:val="001433DA"/>
    <w:rsid w:val="00152A3B"/>
    <w:rsid w:val="0015579B"/>
    <w:rsid w:val="00156150"/>
    <w:rsid w:val="001574A5"/>
    <w:rsid w:val="00162841"/>
    <w:rsid w:val="001647CE"/>
    <w:rsid w:val="00165677"/>
    <w:rsid w:val="00170039"/>
    <w:rsid w:val="00182438"/>
    <w:rsid w:val="0018479D"/>
    <w:rsid w:val="00184A96"/>
    <w:rsid w:val="001901C9"/>
    <w:rsid w:val="00194FDE"/>
    <w:rsid w:val="001962EB"/>
    <w:rsid w:val="001A210E"/>
    <w:rsid w:val="001A69C1"/>
    <w:rsid w:val="001C0A14"/>
    <w:rsid w:val="001C1C6C"/>
    <w:rsid w:val="001C5CB9"/>
    <w:rsid w:val="001D53B8"/>
    <w:rsid w:val="001D7844"/>
    <w:rsid w:val="001E124C"/>
    <w:rsid w:val="001E5626"/>
    <w:rsid w:val="001E61DC"/>
    <w:rsid w:val="001E6E68"/>
    <w:rsid w:val="00204C18"/>
    <w:rsid w:val="00224AB9"/>
    <w:rsid w:val="00225DD0"/>
    <w:rsid w:val="00226AF2"/>
    <w:rsid w:val="00236A9E"/>
    <w:rsid w:val="00241FD4"/>
    <w:rsid w:val="00247E02"/>
    <w:rsid w:val="00250623"/>
    <w:rsid w:val="00251B12"/>
    <w:rsid w:val="002543BE"/>
    <w:rsid w:val="00255C77"/>
    <w:rsid w:val="00260DBD"/>
    <w:rsid w:val="00263C11"/>
    <w:rsid w:val="002645FB"/>
    <w:rsid w:val="00265944"/>
    <w:rsid w:val="00277483"/>
    <w:rsid w:val="002820E1"/>
    <w:rsid w:val="00287688"/>
    <w:rsid w:val="002935FC"/>
    <w:rsid w:val="00296113"/>
    <w:rsid w:val="00296AE7"/>
    <w:rsid w:val="002A1C6C"/>
    <w:rsid w:val="002A215D"/>
    <w:rsid w:val="002B41F7"/>
    <w:rsid w:val="002B6ADE"/>
    <w:rsid w:val="002C4F5B"/>
    <w:rsid w:val="002E0A4A"/>
    <w:rsid w:val="002E5A52"/>
    <w:rsid w:val="002F3E58"/>
    <w:rsid w:val="002F5A42"/>
    <w:rsid w:val="002F716D"/>
    <w:rsid w:val="0030542C"/>
    <w:rsid w:val="00311628"/>
    <w:rsid w:val="00311B7A"/>
    <w:rsid w:val="00315445"/>
    <w:rsid w:val="00315793"/>
    <w:rsid w:val="00325273"/>
    <w:rsid w:val="003438CA"/>
    <w:rsid w:val="003473B0"/>
    <w:rsid w:val="00351B07"/>
    <w:rsid w:val="0036269C"/>
    <w:rsid w:val="00382C33"/>
    <w:rsid w:val="00393587"/>
    <w:rsid w:val="00394C32"/>
    <w:rsid w:val="003A05EE"/>
    <w:rsid w:val="003A5AF8"/>
    <w:rsid w:val="003A6E7C"/>
    <w:rsid w:val="003B1DC1"/>
    <w:rsid w:val="003C0810"/>
    <w:rsid w:val="003C37E2"/>
    <w:rsid w:val="003C3A51"/>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A354F"/>
    <w:rsid w:val="004A41D0"/>
    <w:rsid w:val="004A45F5"/>
    <w:rsid w:val="004A77B1"/>
    <w:rsid w:val="004B0AE4"/>
    <w:rsid w:val="004B59A6"/>
    <w:rsid w:val="004B67EC"/>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A4371"/>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71ADF"/>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B2DCF"/>
    <w:rsid w:val="007B4EE0"/>
    <w:rsid w:val="007B7089"/>
    <w:rsid w:val="007C159D"/>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71D7B"/>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0920"/>
    <w:rsid w:val="00B057BD"/>
    <w:rsid w:val="00B136B8"/>
    <w:rsid w:val="00B17ADA"/>
    <w:rsid w:val="00B20712"/>
    <w:rsid w:val="00B20DA5"/>
    <w:rsid w:val="00B218B0"/>
    <w:rsid w:val="00B22729"/>
    <w:rsid w:val="00B22A6B"/>
    <w:rsid w:val="00B235AA"/>
    <w:rsid w:val="00B26EF8"/>
    <w:rsid w:val="00B2755C"/>
    <w:rsid w:val="00B43238"/>
    <w:rsid w:val="00B5735E"/>
    <w:rsid w:val="00B63510"/>
    <w:rsid w:val="00B66668"/>
    <w:rsid w:val="00B739CF"/>
    <w:rsid w:val="00B74DF2"/>
    <w:rsid w:val="00B75216"/>
    <w:rsid w:val="00B80AA4"/>
    <w:rsid w:val="00B91D52"/>
    <w:rsid w:val="00B9281E"/>
    <w:rsid w:val="00BA1ACD"/>
    <w:rsid w:val="00BC64D2"/>
    <w:rsid w:val="00BC681B"/>
    <w:rsid w:val="00BC7D9A"/>
    <w:rsid w:val="00BD16FC"/>
    <w:rsid w:val="00BD3858"/>
    <w:rsid w:val="00BD390C"/>
    <w:rsid w:val="00BE083B"/>
    <w:rsid w:val="00BE4858"/>
    <w:rsid w:val="00BF7510"/>
    <w:rsid w:val="00C0018A"/>
    <w:rsid w:val="00C01825"/>
    <w:rsid w:val="00C209D8"/>
    <w:rsid w:val="00C25CD1"/>
    <w:rsid w:val="00C266EE"/>
    <w:rsid w:val="00C35022"/>
    <w:rsid w:val="00C44825"/>
    <w:rsid w:val="00C54643"/>
    <w:rsid w:val="00C549FA"/>
    <w:rsid w:val="00C54CE5"/>
    <w:rsid w:val="00C55CEC"/>
    <w:rsid w:val="00C6404D"/>
    <w:rsid w:val="00C711B8"/>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207"/>
    <w:rsid w:val="00D57A83"/>
    <w:rsid w:val="00D63054"/>
    <w:rsid w:val="00D71ECE"/>
    <w:rsid w:val="00D75B58"/>
    <w:rsid w:val="00D876DF"/>
    <w:rsid w:val="00D90D45"/>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56574"/>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B7D81"/>
    <w:rsid w:val="00EC0907"/>
    <w:rsid w:val="00EC47F6"/>
    <w:rsid w:val="00ED7F34"/>
    <w:rsid w:val="00EE1B43"/>
    <w:rsid w:val="00EF02FF"/>
    <w:rsid w:val="00EF1B99"/>
    <w:rsid w:val="00EF441B"/>
    <w:rsid w:val="00EF6E7B"/>
    <w:rsid w:val="00F05B79"/>
    <w:rsid w:val="00F153EF"/>
    <w:rsid w:val="00F24390"/>
    <w:rsid w:val="00F32569"/>
    <w:rsid w:val="00F417E3"/>
    <w:rsid w:val="00F4182E"/>
    <w:rsid w:val="00F51920"/>
    <w:rsid w:val="00F5306C"/>
    <w:rsid w:val="00F57F4F"/>
    <w:rsid w:val="00F62A67"/>
    <w:rsid w:val="00F631D6"/>
    <w:rsid w:val="00F645C4"/>
    <w:rsid w:val="00F66032"/>
    <w:rsid w:val="00F6694D"/>
    <w:rsid w:val="00F82AC6"/>
    <w:rsid w:val="00F86D57"/>
    <w:rsid w:val="00F958C2"/>
    <w:rsid w:val="00FA0C96"/>
    <w:rsid w:val="00FA2A1D"/>
    <w:rsid w:val="00FA44B3"/>
    <w:rsid w:val="00FA71CC"/>
    <w:rsid w:val="00FB64EF"/>
    <w:rsid w:val="00FB7C83"/>
    <w:rsid w:val="00FC11F8"/>
    <w:rsid w:val="00FD52DC"/>
    <w:rsid w:val="00FD596F"/>
    <w:rsid w:val="00FD6519"/>
    <w:rsid w:val="00FE25D5"/>
    <w:rsid w:val="00FE2A35"/>
    <w:rsid w:val="00FE2E68"/>
    <w:rsid w:val="00FF0EC6"/>
    <w:rsid w:val="00FF3F1E"/>
    <w:rsid w:val="00FF4B95"/>
    <w:rsid w:val="04DB23CB"/>
    <w:rsid w:val="11BF2068"/>
    <w:rsid w:val="25311F94"/>
    <w:rsid w:val="388561C0"/>
    <w:rsid w:val="4AD472BE"/>
    <w:rsid w:val="7C975E2D"/>
    <w:rsid w:val="7E3C5E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uiPriority w:val="0"/>
    <w:rPr>
      <w:rFonts w:ascii="Times New Roman" w:hAnsi="Times New Roman" w:eastAsia="宋体" w:cs="Times New Roman"/>
      <w:szCs w:val="24"/>
    </w:rPr>
  </w:style>
  <w:style w:type="paragraph" w:styleId="6">
    <w:name w:val="toc 2"/>
    <w:basedOn w:val="1"/>
    <w:next w:val="1"/>
    <w:uiPriority w:val="0"/>
    <w:pPr>
      <w:ind w:left="420" w:leftChars="200"/>
    </w:pPr>
    <w:rPr>
      <w:rFonts w:ascii="Times New Roman" w:hAnsi="Times New Roman" w:eastAsia="宋体" w:cs="Times New Roman"/>
      <w:szCs w:val="24"/>
    </w:rPr>
  </w:style>
  <w:style w:type="character" w:customStyle="1" w:styleId="9">
    <w:name w:val="页眉 字符"/>
    <w:basedOn w:val="8"/>
    <w:link w:val="4"/>
    <w:uiPriority w:val="0"/>
    <w:rPr>
      <w:rFonts w:ascii="Times New Roman" w:hAnsi="Times New Roman" w:eastAsia="宋体" w:cs="Times New Roman"/>
      <w:sz w:val="18"/>
      <w:szCs w:val="18"/>
    </w:rPr>
  </w:style>
  <w:style w:type="character" w:customStyle="1" w:styleId="10">
    <w:name w:val="页脚 字符"/>
    <w:basedOn w:val="8"/>
    <w:link w:val="3"/>
    <w:uiPriority w:val="99"/>
    <w:rPr>
      <w:rFonts w:ascii="Times New Roman" w:hAnsi="Times New Roman" w:eastAsia="宋体" w:cs="Times New Roman"/>
      <w:sz w:val="18"/>
      <w:szCs w:val="18"/>
    </w:rPr>
  </w:style>
  <w:style w:type="character" w:customStyle="1" w:styleId="11">
    <w:name w:val="批注框文本 字符"/>
    <w:basedOn w:val="8"/>
    <w:link w:val="2"/>
    <w:semiHidden/>
    <w:uiPriority w:val="99"/>
    <w:rPr>
      <w:sz w:val="18"/>
      <w:szCs w:val="18"/>
    </w:rPr>
  </w:style>
  <w:style w:type="paragraph" w:customStyle="1" w:styleId="12">
    <w:name w:val="Defaul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3">
    <w:name w:val="Char"/>
    <w:basedOn w:val="1"/>
    <w:uiPriority w:val="0"/>
    <w:rPr>
      <w:rFonts w:ascii="Tahoma" w:hAnsi="Tahoma" w:eastAsia="宋体"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2524B2-7081-4867-82DF-CBEA3034637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497</Words>
  <Characters>2838</Characters>
  <Lines>23</Lines>
  <Paragraphs>6</Paragraphs>
  <TotalTime>5</TotalTime>
  <ScaleCrop>false</ScaleCrop>
  <LinksUpToDate>false</LinksUpToDate>
  <CharactersWithSpaces>3329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2017-10-26T06:45:00Z</dcterms:created>
  <dc:creator>guest</dc:creator>
  <cp:lastModifiedBy>我是男的!!!</cp:lastModifiedBy>
  <cp:lastPrinted>2018-02-28T01:51:00Z</cp:lastPrinted>
  <dcterms:modified xsi:type="dcterms:W3CDTF">2020-02-01T02:54:54Z</dcterms:modified>
  <cp:revision>1407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